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83794" w14:textId="32FE31C3" w:rsidR="00C4100A" w:rsidRPr="00F1745E" w:rsidRDefault="000A1829" w:rsidP="00C4100A">
      <w:pPr>
        <w:pStyle w:val="Header"/>
        <w:jc w:val="center"/>
        <w:rPr>
          <w:rFonts w:ascii="Calibri" w:hAnsi="Calibri"/>
        </w:rPr>
      </w:pPr>
      <w:r>
        <w:rPr>
          <w:rFonts w:ascii="Calibri" w:hAnsi="Calibri"/>
        </w:rPr>
        <w:t>The Enterprise Learning Alliance</w:t>
      </w:r>
    </w:p>
    <w:p w14:paraId="4F26D571" w14:textId="08E68FE6" w:rsidR="00C4100A" w:rsidRDefault="00C4100A"/>
    <w:tbl>
      <w:tblPr>
        <w:tblStyle w:val="TableGrid"/>
        <w:tblW w:w="0" w:type="auto"/>
        <w:tblLook w:val="04A0" w:firstRow="1" w:lastRow="0" w:firstColumn="1" w:lastColumn="0" w:noHBand="0" w:noVBand="1"/>
      </w:tblPr>
      <w:tblGrid>
        <w:gridCol w:w="9016"/>
      </w:tblGrid>
      <w:tr w:rsidR="00C4100A" w14:paraId="48D70BD2" w14:textId="77777777" w:rsidTr="00D675AA">
        <w:tc>
          <w:tcPr>
            <w:tcW w:w="9016" w:type="dxa"/>
            <w:shd w:val="clear" w:color="auto" w:fill="7030A0"/>
          </w:tcPr>
          <w:p w14:paraId="3AE3E4F4" w14:textId="77777777" w:rsidR="000C50A7" w:rsidRPr="009C71CC" w:rsidRDefault="000C50A7" w:rsidP="000C50A7">
            <w:pPr>
              <w:jc w:val="center"/>
              <w:rPr>
                <w:b/>
                <w:color w:val="FFFFFF" w:themeColor="background1"/>
                <w:sz w:val="28"/>
                <w:szCs w:val="28"/>
              </w:rPr>
            </w:pPr>
            <w:r w:rsidRPr="009C71CC">
              <w:rPr>
                <w:b/>
                <w:color w:val="FFFFFF" w:themeColor="background1"/>
                <w:sz w:val="28"/>
                <w:szCs w:val="28"/>
              </w:rPr>
              <w:t>Coronavirus Catch-up Premium</w:t>
            </w:r>
          </w:p>
          <w:p w14:paraId="3677C43A" w14:textId="779AFBEA" w:rsidR="00742627" w:rsidRDefault="00742627" w:rsidP="004E4C80">
            <w:pPr>
              <w:rPr>
                <w:b/>
                <w:color w:val="FFFFFF" w:themeColor="background1"/>
              </w:rPr>
            </w:pPr>
            <w:r>
              <w:rPr>
                <w:b/>
                <w:color w:val="FFFFFF" w:themeColor="background1"/>
              </w:rPr>
              <w:t>School:</w:t>
            </w:r>
            <w:r w:rsidR="00C062F0">
              <w:rPr>
                <w:b/>
                <w:color w:val="FFFFFF" w:themeColor="background1"/>
              </w:rPr>
              <w:t xml:space="preserve"> </w:t>
            </w:r>
            <w:r w:rsidR="000A1829">
              <w:rPr>
                <w:b/>
                <w:color w:val="FFFFFF" w:themeColor="background1"/>
              </w:rPr>
              <w:t>The Enterprise Learning Alliance</w:t>
            </w:r>
          </w:p>
          <w:p w14:paraId="35FB856F" w14:textId="288E9804" w:rsidR="00742627" w:rsidRDefault="003E47AF" w:rsidP="004E4C80">
            <w:pPr>
              <w:rPr>
                <w:b/>
                <w:color w:val="FFFFFF" w:themeColor="background1"/>
              </w:rPr>
            </w:pPr>
            <w:r>
              <w:rPr>
                <w:b/>
                <w:color w:val="FFFFFF" w:themeColor="background1"/>
              </w:rPr>
              <w:t>Date:</w:t>
            </w:r>
            <w:r w:rsidR="00C062F0">
              <w:rPr>
                <w:b/>
                <w:color w:val="FFFFFF" w:themeColor="background1"/>
              </w:rPr>
              <w:t xml:space="preserve"> November 2020</w:t>
            </w:r>
          </w:p>
          <w:p w14:paraId="1ECD6637" w14:textId="5298B1E9" w:rsidR="00C4100A" w:rsidRPr="00C4100A" w:rsidRDefault="00C4100A" w:rsidP="004E4C80">
            <w:pPr>
              <w:rPr>
                <w:b/>
                <w:color w:val="FFFFFF" w:themeColor="background1"/>
              </w:rPr>
            </w:pPr>
          </w:p>
        </w:tc>
      </w:tr>
      <w:tr w:rsidR="00C4100A" w14:paraId="029EB00F" w14:textId="77777777" w:rsidTr="00B87E1A">
        <w:trPr>
          <w:trHeight w:val="6371"/>
        </w:trPr>
        <w:tc>
          <w:tcPr>
            <w:tcW w:w="9016" w:type="dxa"/>
          </w:tcPr>
          <w:p w14:paraId="7CED47D5" w14:textId="77777777" w:rsidR="004E4C80" w:rsidRPr="00F340BA" w:rsidRDefault="004E4C80" w:rsidP="004E4C80">
            <w:pPr>
              <w:rPr>
                <w:szCs w:val="24"/>
              </w:rPr>
            </w:pPr>
            <w:r w:rsidRPr="00F340BA">
              <w:rPr>
                <w:rFonts w:eastAsia="Times New Roman" w:cs="Arial"/>
                <w:b/>
                <w:bCs/>
                <w:color w:val="0B0C0C"/>
                <w:szCs w:val="24"/>
                <w:lang w:eastAsia="en-GB"/>
              </w:rPr>
              <w:t>Purpose of the premium</w:t>
            </w:r>
          </w:p>
          <w:p w14:paraId="435A95D9" w14:textId="2CCEB9A2" w:rsidR="00FD79A2" w:rsidRDefault="00BB6BDB" w:rsidP="00B87E1A">
            <w:pPr>
              <w:pStyle w:val="NormalWeb"/>
              <w:shd w:val="clear" w:color="auto" w:fill="FFFFFF"/>
              <w:spacing w:before="0" w:beforeAutospacing="0" w:after="0" w:afterAutospacing="0"/>
              <w:rPr>
                <w:rFonts w:ascii="Arial" w:hAnsi="Arial" w:cs="Arial"/>
                <w:color w:val="0B0C0C"/>
                <w:shd w:val="clear" w:color="auto" w:fill="FFFFFF"/>
              </w:rPr>
            </w:pPr>
            <w:r w:rsidRPr="00BB6BDB">
              <w:rPr>
                <w:rFonts w:ascii="Arial" w:hAnsi="Arial" w:cs="Arial"/>
                <w:color w:val="0B0C0C"/>
                <w:shd w:val="clear" w:color="auto" w:fill="FFFFFF"/>
              </w:rPr>
              <w:t>The catch-up premium has been designed to mitigate the effects of the unique disruption caused by coronavirus (COVID-19)</w:t>
            </w:r>
            <w:r>
              <w:rPr>
                <w:rFonts w:ascii="Arial" w:hAnsi="Arial" w:cs="Arial"/>
                <w:color w:val="0B0C0C"/>
                <w:shd w:val="clear" w:color="auto" w:fill="FFFFFF"/>
              </w:rPr>
              <w:t>.  Consequently,</w:t>
            </w:r>
            <w:r w:rsidRPr="00BB6BDB">
              <w:rPr>
                <w:rFonts w:ascii="Arial" w:hAnsi="Arial" w:cs="Arial"/>
                <w:color w:val="0B0C0C"/>
                <w:shd w:val="clear" w:color="auto" w:fill="FFFFFF"/>
              </w:rPr>
              <w:t xml:space="preserve"> the grant </w:t>
            </w:r>
            <w:r>
              <w:rPr>
                <w:rFonts w:ascii="Arial" w:hAnsi="Arial" w:cs="Arial"/>
                <w:color w:val="0B0C0C"/>
                <w:shd w:val="clear" w:color="auto" w:fill="FFFFFF"/>
              </w:rPr>
              <w:t>is</w:t>
            </w:r>
            <w:r w:rsidRPr="00BB6BDB">
              <w:rPr>
                <w:rFonts w:ascii="Arial" w:hAnsi="Arial" w:cs="Arial"/>
                <w:color w:val="0B0C0C"/>
                <w:shd w:val="clear" w:color="auto" w:fill="FFFFFF"/>
              </w:rPr>
              <w:t xml:space="preserve"> only available for the 2020 to 2021 academic year. </w:t>
            </w:r>
          </w:p>
          <w:p w14:paraId="11B450C0" w14:textId="77777777" w:rsidR="002F0419" w:rsidRDefault="002F0419" w:rsidP="00B87E1A">
            <w:pPr>
              <w:pStyle w:val="NormalWeb"/>
              <w:shd w:val="clear" w:color="auto" w:fill="FFFFFF"/>
              <w:spacing w:before="0" w:beforeAutospacing="0" w:after="0" w:afterAutospacing="0"/>
              <w:rPr>
                <w:rFonts w:ascii="Arial" w:hAnsi="Arial" w:cs="Arial"/>
                <w:color w:val="0B0C0C"/>
              </w:rPr>
            </w:pPr>
          </w:p>
          <w:p w14:paraId="22E3E499" w14:textId="29B6F2A3" w:rsidR="00FD79A2" w:rsidRDefault="00FD79A2" w:rsidP="00B87E1A">
            <w:pPr>
              <w:pStyle w:val="NormalWeb"/>
              <w:shd w:val="clear" w:color="auto" w:fill="FFFFFF"/>
              <w:spacing w:before="0" w:beforeAutospacing="0" w:after="0" w:afterAutospacing="0"/>
              <w:rPr>
                <w:rFonts w:ascii="Arial" w:hAnsi="Arial" w:cs="Arial"/>
                <w:b/>
                <w:bCs/>
                <w:color w:val="0B0C0C"/>
              </w:rPr>
            </w:pPr>
            <w:r w:rsidRPr="00522750">
              <w:rPr>
                <w:rFonts w:ascii="Arial" w:hAnsi="Arial" w:cs="Arial"/>
                <w:b/>
                <w:bCs/>
                <w:color w:val="0B0C0C"/>
              </w:rPr>
              <w:t>Use of funding</w:t>
            </w:r>
          </w:p>
          <w:p w14:paraId="122E9E2D" w14:textId="1914EE6F" w:rsidR="00054734" w:rsidRDefault="00054734" w:rsidP="00B87E1A">
            <w:pPr>
              <w:pStyle w:val="NormalWeb"/>
              <w:shd w:val="clear" w:color="auto" w:fill="FFFFFF"/>
              <w:spacing w:before="0" w:beforeAutospacing="0" w:after="0" w:afterAutospacing="0"/>
              <w:rPr>
                <w:rFonts w:ascii="Arial" w:hAnsi="Arial" w:cs="Arial"/>
                <w:b/>
                <w:bCs/>
                <w:color w:val="0B0C0C"/>
              </w:rPr>
            </w:pPr>
            <w:r w:rsidRPr="00EF517F">
              <w:rPr>
                <w:rFonts w:ascii="Arial" w:hAnsi="Arial" w:cs="Arial"/>
                <w:color w:val="0B0C0C"/>
              </w:rPr>
              <w:t>Schools should use this funding for specific activities to support their pupils to catch up for lost teaching over the previous months, in line with the guidance on </w:t>
            </w:r>
            <w:hyperlink r:id="rId5" w:anchor="section-3-curriculum-behaviour-and-pastoral-support" w:history="1">
              <w:r w:rsidRPr="00EF517F">
                <w:rPr>
                  <w:rStyle w:val="Hyperlink"/>
                  <w:rFonts w:ascii="Arial" w:hAnsi="Arial" w:cs="Arial"/>
                  <w:color w:val="4C2C92"/>
                  <w:bdr w:val="none" w:sz="0" w:space="0" w:color="auto" w:frame="1"/>
                </w:rPr>
                <w:t>curriculum expectations for the next academic year</w:t>
              </w:r>
            </w:hyperlink>
            <w:r w:rsidRPr="00EF517F">
              <w:rPr>
                <w:rFonts w:ascii="Arial" w:hAnsi="Arial" w:cs="Arial"/>
                <w:color w:val="0B0C0C"/>
              </w:rPr>
              <w:t>.</w:t>
            </w:r>
            <w:r>
              <w:rPr>
                <w:rFonts w:ascii="Arial" w:hAnsi="Arial" w:cs="Arial"/>
                <w:color w:val="0B0C0C"/>
              </w:rPr>
              <w:t xml:space="preserve">  </w:t>
            </w:r>
            <w:r w:rsidRPr="00EF517F">
              <w:rPr>
                <w:rFonts w:ascii="Arial" w:hAnsi="Arial" w:cs="Arial"/>
                <w:color w:val="0B0C0C"/>
              </w:rPr>
              <w:t>Schools have the flexibility to spend their funding in the best way for their cohort and circumstances.</w:t>
            </w:r>
          </w:p>
          <w:p w14:paraId="6631779C" w14:textId="77777777" w:rsidR="00054734" w:rsidRPr="00522750" w:rsidRDefault="00054734" w:rsidP="00B87E1A">
            <w:pPr>
              <w:pStyle w:val="NormalWeb"/>
              <w:shd w:val="clear" w:color="auto" w:fill="FFFFFF"/>
              <w:spacing w:before="0" w:beforeAutospacing="0" w:after="0" w:afterAutospacing="0"/>
              <w:rPr>
                <w:rFonts w:ascii="Arial" w:hAnsi="Arial" w:cs="Arial"/>
                <w:b/>
                <w:bCs/>
                <w:color w:val="0B0C0C"/>
              </w:rPr>
            </w:pPr>
          </w:p>
          <w:p w14:paraId="47782BB5" w14:textId="77777777" w:rsidR="00FD79A2" w:rsidRPr="00522750" w:rsidRDefault="00FD79A2" w:rsidP="00522750">
            <w:pPr>
              <w:pStyle w:val="NormalWeb"/>
              <w:shd w:val="clear" w:color="auto" w:fill="FFFFFF"/>
              <w:spacing w:before="0" w:beforeAutospacing="0" w:after="0" w:afterAutospacing="0"/>
              <w:rPr>
                <w:rFonts w:ascii="Arial" w:hAnsi="Arial" w:cs="Arial"/>
                <w:color w:val="0B0C0C"/>
              </w:rPr>
            </w:pPr>
            <w:r w:rsidRPr="00522750">
              <w:rPr>
                <w:rFonts w:ascii="Arial" w:hAnsi="Arial" w:cs="Arial"/>
                <w:color w:val="0B0C0C"/>
              </w:rPr>
              <w:t>To support schools to make the best use of this funding, the Education Endowment Foundation (EEF) has published a </w:t>
            </w:r>
            <w:hyperlink r:id="rId6" w:anchor="nav-covid-19-support-guide-for-schools1" w:history="1">
              <w:r w:rsidRPr="00522750">
                <w:rPr>
                  <w:rStyle w:val="Hyperlink"/>
                  <w:rFonts w:ascii="Arial" w:hAnsi="Arial" w:cs="Arial"/>
                  <w:color w:val="4C2C92"/>
                  <w:bdr w:val="none" w:sz="0" w:space="0" w:color="auto" w:frame="1"/>
                </w:rPr>
                <w:t>coronavirus (COVID-19) support guide for schools</w:t>
              </w:r>
            </w:hyperlink>
            <w:r w:rsidRPr="00522750">
              <w:rPr>
                <w:rFonts w:ascii="Arial" w:hAnsi="Arial" w:cs="Arial"/>
                <w:color w:val="0B0C0C"/>
              </w:rPr>
              <w:t> with evidence-based approaches to catch up for all students. Schools should use this document to help them direct their additional funding in the most effective way. This could include, for example:</w:t>
            </w:r>
          </w:p>
          <w:p w14:paraId="6831A3E8" w14:textId="77777777" w:rsidR="00FD79A2" w:rsidRPr="00522750" w:rsidRDefault="00FD79A2" w:rsidP="00522750">
            <w:pPr>
              <w:numPr>
                <w:ilvl w:val="0"/>
                <w:numId w:val="9"/>
              </w:numPr>
              <w:shd w:val="clear" w:color="auto" w:fill="FFFFFF"/>
              <w:ind w:left="1020"/>
              <w:rPr>
                <w:rFonts w:cs="Arial"/>
                <w:color w:val="0B0C0C"/>
                <w:szCs w:val="24"/>
              </w:rPr>
            </w:pPr>
            <w:r w:rsidRPr="00522750">
              <w:rPr>
                <w:rFonts w:cs="Arial"/>
                <w:color w:val="0B0C0C"/>
                <w:szCs w:val="24"/>
              </w:rPr>
              <w:t>small group or one-to-one tuition (particularly through the National Tutoring Programme)</w:t>
            </w:r>
          </w:p>
          <w:p w14:paraId="5369DD5D" w14:textId="0867F433" w:rsidR="00FD79A2" w:rsidRDefault="00FD79A2" w:rsidP="00522750">
            <w:pPr>
              <w:numPr>
                <w:ilvl w:val="0"/>
                <w:numId w:val="9"/>
              </w:numPr>
              <w:shd w:val="clear" w:color="auto" w:fill="FFFFFF"/>
              <w:ind w:left="1020"/>
              <w:rPr>
                <w:rFonts w:cs="Arial"/>
                <w:color w:val="0B0C0C"/>
                <w:szCs w:val="24"/>
              </w:rPr>
            </w:pPr>
            <w:r w:rsidRPr="00522750">
              <w:rPr>
                <w:rFonts w:cs="Arial"/>
                <w:color w:val="0B0C0C"/>
                <w:szCs w:val="24"/>
              </w:rPr>
              <w:t>summer programmes to help re-engage pupils or extra teaching capacity from September</w:t>
            </w:r>
            <w:r w:rsidR="00054734">
              <w:rPr>
                <w:rFonts w:cs="Arial"/>
                <w:color w:val="0B0C0C"/>
                <w:szCs w:val="24"/>
              </w:rPr>
              <w:t>.</w:t>
            </w:r>
          </w:p>
          <w:p w14:paraId="170FEC1F" w14:textId="77777777" w:rsidR="00054734" w:rsidRPr="00522750" w:rsidRDefault="00054734" w:rsidP="00054734">
            <w:pPr>
              <w:shd w:val="clear" w:color="auto" w:fill="FFFFFF"/>
              <w:ind w:left="1020"/>
              <w:rPr>
                <w:rFonts w:cs="Arial"/>
                <w:color w:val="0B0C0C"/>
                <w:szCs w:val="24"/>
              </w:rPr>
            </w:pPr>
          </w:p>
          <w:p w14:paraId="524400B3" w14:textId="6C823286" w:rsidR="00FD79A2" w:rsidRDefault="00522750" w:rsidP="00B87E1A">
            <w:pPr>
              <w:pStyle w:val="NormalWeb"/>
              <w:shd w:val="clear" w:color="auto" w:fill="FFFFFF"/>
              <w:spacing w:before="0" w:beforeAutospacing="0" w:after="0" w:afterAutospacing="0"/>
              <w:rPr>
                <w:rFonts w:ascii="Arial" w:hAnsi="Arial" w:cs="Arial"/>
                <w:color w:val="0B0C0C"/>
              </w:rPr>
            </w:pPr>
            <w:r w:rsidRPr="00522750">
              <w:rPr>
                <w:rFonts w:ascii="Arial" w:hAnsi="Arial" w:cs="Arial"/>
                <w:color w:val="0B0C0C"/>
              </w:rPr>
              <w:t xml:space="preserve">To support schools to implement their catch-up plans effectively, EEF has </w:t>
            </w:r>
            <w:r w:rsidR="00782D8E">
              <w:rPr>
                <w:rFonts w:ascii="Arial" w:hAnsi="Arial" w:cs="Arial"/>
                <w:color w:val="0B0C0C"/>
              </w:rPr>
              <w:t xml:space="preserve">also </w:t>
            </w:r>
            <w:r w:rsidRPr="00522750">
              <w:rPr>
                <w:rFonts w:ascii="Arial" w:hAnsi="Arial" w:cs="Arial"/>
                <w:color w:val="0B0C0C"/>
              </w:rPr>
              <w:t>published the </w:t>
            </w:r>
            <w:hyperlink r:id="rId7" w:history="1">
              <w:r w:rsidRPr="00522750">
                <w:rPr>
                  <w:rStyle w:val="Hyperlink"/>
                  <w:rFonts w:ascii="Arial" w:hAnsi="Arial" w:cs="Arial"/>
                  <w:color w:val="4C2C92"/>
                  <w:bdr w:val="none" w:sz="0" w:space="0" w:color="auto" w:frame="1"/>
                </w:rPr>
                <w:t>school planning guide: 2020 to 2021</w:t>
              </w:r>
            </w:hyperlink>
            <w:r w:rsidRPr="00522750">
              <w:rPr>
                <w:rFonts w:ascii="Arial" w:hAnsi="Arial" w:cs="Arial"/>
                <w:color w:val="0B0C0C"/>
              </w:rPr>
              <w:t xml:space="preserve">. This </w:t>
            </w:r>
            <w:r w:rsidR="00782D8E">
              <w:rPr>
                <w:rFonts w:ascii="Arial" w:hAnsi="Arial" w:cs="Arial"/>
                <w:color w:val="0B0C0C"/>
              </w:rPr>
              <w:t>is to</w:t>
            </w:r>
            <w:r w:rsidRPr="00522750">
              <w:rPr>
                <w:rFonts w:ascii="Arial" w:hAnsi="Arial" w:cs="Arial"/>
                <w:color w:val="0B0C0C"/>
              </w:rPr>
              <w:t xml:space="preserve"> provide further guidance on how schools should implement catch-up strategies </w:t>
            </w:r>
            <w:r w:rsidR="00782D8E">
              <w:rPr>
                <w:rFonts w:ascii="Arial" w:hAnsi="Arial" w:cs="Arial"/>
                <w:color w:val="0B0C0C"/>
              </w:rPr>
              <w:t>following their</w:t>
            </w:r>
            <w:r w:rsidRPr="00522750">
              <w:rPr>
                <w:rFonts w:ascii="Arial" w:hAnsi="Arial" w:cs="Arial"/>
                <w:color w:val="0B0C0C"/>
              </w:rPr>
              <w:t xml:space="preserve"> return in September and supporting case studies to highlight effective practice.</w:t>
            </w:r>
          </w:p>
          <w:p w14:paraId="12D179E7" w14:textId="093E3E9B" w:rsidR="00B87E1A" w:rsidRDefault="00B87E1A" w:rsidP="00B87E1A">
            <w:pPr>
              <w:pStyle w:val="NormalWeb"/>
              <w:shd w:val="clear" w:color="auto" w:fill="FFFFFF"/>
              <w:spacing w:before="0" w:beforeAutospacing="0" w:after="0" w:afterAutospacing="0"/>
              <w:rPr>
                <w:rFonts w:ascii="Arial" w:hAnsi="Arial" w:cs="Arial"/>
                <w:color w:val="0B0C0C"/>
              </w:rPr>
            </w:pPr>
          </w:p>
          <w:p w14:paraId="33F46FD0" w14:textId="06B135E7" w:rsidR="00B87E1A" w:rsidRPr="00B87E1A" w:rsidRDefault="00B87E1A" w:rsidP="004E4C80">
            <w:pPr>
              <w:pStyle w:val="NormalWeb"/>
              <w:shd w:val="clear" w:color="auto" w:fill="FFFFFF"/>
              <w:spacing w:before="0" w:beforeAutospacing="0" w:after="0" w:afterAutospacing="0"/>
              <w:rPr>
                <w:rFonts w:ascii="Arial" w:hAnsi="Arial" w:cs="Arial"/>
                <w:b/>
                <w:bCs/>
                <w:color w:val="0B0C0C"/>
              </w:rPr>
            </w:pPr>
            <w:r w:rsidRPr="00B87E1A">
              <w:rPr>
                <w:rFonts w:ascii="Arial" w:hAnsi="Arial" w:cs="Arial"/>
                <w:b/>
                <w:bCs/>
                <w:color w:val="0B0C0C"/>
              </w:rPr>
              <w:t>Accountability and monitoring</w:t>
            </w:r>
          </w:p>
          <w:p w14:paraId="11C29F20" w14:textId="55144B40" w:rsidR="00B87E1A" w:rsidRDefault="00B87E1A" w:rsidP="00B87E1A">
            <w:pPr>
              <w:shd w:val="clear" w:color="auto" w:fill="FFFFFF"/>
              <w:rPr>
                <w:rFonts w:eastAsia="Times New Roman" w:cs="Arial"/>
                <w:color w:val="0B0C0C"/>
                <w:szCs w:val="24"/>
                <w:lang w:eastAsia="en-GB"/>
              </w:rPr>
            </w:pPr>
            <w:r w:rsidRPr="00B87E1A">
              <w:rPr>
                <w:rFonts w:eastAsia="Times New Roman" w:cs="Arial"/>
                <w:color w:val="0B0C0C"/>
                <w:szCs w:val="24"/>
                <w:lang w:eastAsia="en-GB"/>
              </w:rPr>
              <w:t xml:space="preserve">As with all government funding, school leaders must be able to account for how this money is being used to achieve </w:t>
            </w:r>
            <w:r>
              <w:rPr>
                <w:rFonts w:eastAsia="Times New Roman" w:cs="Arial"/>
                <w:color w:val="0B0C0C"/>
                <w:szCs w:val="24"/>
                <w:lang w:eastAsia="en-GB"/>
              </w:rPr>
              <w:t>the</w:t>
            </w:r>
            <w:r w:rsidRPr="00B87E1A">
              <w:rPr>
                <w:rFonts w:eastAsia="Times New Roman" w:cs="Arial"/>
                <w:color w:val="0B0C0C"/>
                <w:szCs w:val="24"/>
                <w:lang w:eastAsia="en-GB"/>
              </w:rPr>
              <w:t xml:space="preserve"> central goal of schools getting back on track and teaching a normal curriculum as quickly as possible.</w:t>
            </w:r>
          </w:p>
          <w:p w14:paraId="0697CB24" w14:textId="77777777" w:rsidR="00B87E1A" w:rsidRPr="00B87E1A" w:rsidRDefault="00B87E1A" w:rsidP="00B87E1A">
            <w:pPr>
              <w:shd w:val="clear" w:color="auto" w:fill="FFFFFF"/>
              <w:rPr>
                <w:rFonts w:eastAsia="Times New Roman" w:cs="Arial"/>
                <w:color w:val="0B0C0C"/>
                <w:szCs w:val="24"/>
                <w:lang w:eastAsia="en-GB"/>
              </w:rPr>
            </w:pPr>
          </w:p>
          <w:p w14:paraId="725F4731" w14:textId="77777777" w:rsidR="00B87E1A" w:rsidRPr="00B87E1A" w:rsidRDefault="00B87E1A" w:rsidP="00B87E1A">
            <w:pPr>
              <w:shd w:val="clear" w:color="auto" w:fill="FFFFFF"/>
              <w:rPr>
                <w:rFonts w:eastAsia="Times New Roman" w:cs="Arial"/>
                <w:color w:val="0B0C0C"/>
                <w:szCs w:val="24"/>
                <w:lang w:eastAsia="en-GB"/>
              </w:rPr>
            </w:pPr>
            <w:r w:rsidRPr="00B87E1A">
              <w:rPr>
                <w:rFonts w:eastAsia="Times New Roman" w:cs="Arial"/>
                <w:color w:val="0B0C0C"/>
                <w:szCs w:val="24"/>
                <w:lang w:eastAsia="en-GB"/>
              </w:rPr>
              <w:t>Given their role in ensuring schools spend funding appropriately and in holding schools to account for educational performance, governors and trustees should scrutinise schools’ approaches to catch-up from September, including their plans for and use of catch-up funding. This should include consideration of whether schools are spending this funding in line with their catch-up priorities, and ensuring appropriate transparency for parents.</w:t>
            </w:r>
          </w:p>
          <w:p w14:paraId="576DA08E" w14:textId="77777777" w:rsidR="00B87E1A" w:rsidRDefault="00B87E1A" w:rsidP="004E4C80">
            <w:pPr>
              <w:pStyle w:val="NormalWeb"/>
              <w:shd w:val="clear" w:color="auto" w:fill="FFFFFF"/>
              <w:spacing w:before="0" w:beforeAutospacing="0" w:after="0" w:afterAutospacing="0"/>
              <w:rPr>
                <w:rFonts w:ascii="Arial" w:hAnsi="Arial" w:cs="Arial"/>
                <w:color w:val="0B0C0C"/>
                <w:shd w:val="clear" w:color="auto" w:fill="FFFFFF"/>
              </w:rPr>
            </w:pPr>
          </w:p>
          <w:p w14:paraId="1BAE23C3" w14:textId="77777777" w:rsidR="004E4C80" w:rsidRDefault="004E4C80" w:rsidP="00272D27">
            <w:pPr>
              <w:pStyle w:val="ListParagraph"/>
              <w:ind w:left="247"/>
            </w:pPr>
          </w:p>
        </w:tc>
      </w:tr>
    </w:tbl>
    <w:p w14:paraId="1CD4D61D" w14:textId="77777777" w:rsidR="00D70432" w:rsidRDefault="00D70432" w:rsidP="00D70432"/>
    <w:p w14:paraId="2C26E5E3" w14:textId="77777777" w:rsidR="00034C42" w:rsidRDefault="00034C42" w:rsidP="00D70432"/>
    <w:tbl>
      <w:tblPr>
        <w:tblStyle w:val="TableGrid"/>
        <w:tblW w:w="8995" w:type="dxa"/>
        <w:tblLook w:val="04A0" w:firstRow="1" w:lastRow="0" w:firstColumn="1" w:lastColumn="0" w:noHBand="0" w:noVBand="1"/>
      </w:tblPr>
      <w:tblGrid>
        <w:gridCol w:w="6925"/>
        <w:gridCol w:w="2070"/>
      </w:tblGrid>
      <w:tr w:rsidR="009A4780" w:rsidRPr="00386B18" w14:paraId="1A9F6378" w14:textId="77777777" w:rsidTr="007D07B7">
        <w:tc>
          <w:tcPr>
            <w:tcW w:w="6925" w:type="dxa"/>
          </w:tcPr>
          <w:p w14:paraId="676393A9" w14:textId="7DB3F1A2" w:rsidR="009A4780" w:rsidRPr="00386B18" w:rsidRDefault="001D3FEA" w:rsidP="003F35C6">
            <w:pPr>
              <w:rPr>
                <w:sz w:val="22"/>
              </w:rPr>
            </w:pPr>
            <w:r>
              <w:rPr>
                <w:sz w:val="22"/>
              </w:rPr>
              <w:t xml:space="preserve">Funded </w:t>
            </w:r>
            <w:r w:rsidR="000877C8" w:rsidRPr="00386B18">
              <w:rPr>
                <w:sz w:val="22"/>
              </w:rPr>
              <w:t>of pupils in school</w:t>
            </w:r>
            <w:r w:rsidR="009A4780" w:rsidRPr="00386B18">
              <w:rPr>
                <w:sz w:val="22"/>
              </w:rPr>
              <w:t xml:space="preserve"> </w:t>
            </w:r>
          </w:p>
        </w:tc>
        <w:tc>
          <w:tcPr>
            <w:tcW w:w="2070" w:type="dxa"/>
          </w:tcPr>
          <w:p w14:paraId="7224AD42" w14:textId="6A18F2BD" w:rsidR="009A4780" w:rsidRPr="00386B18" w:rsidRDefault="001D3FEA" w:rsidP="003F35C6">
            <w:pPr>
              <w:rPr>
                <w:sz w:val="22"/>
              </w:rPr>
            </w:pPr>
            <w:r>
              <w:rPr>
                <w:sz w:val="22"/>
              </w:rPr>
              <w:t>178</w:t>
            </w:r>
          </w:p>
        </w:tc>
      </w:tr>
      <w:tr w:rsidR="009A4780" w:rsidRPr="00386B18" w14:paraId="7217D5A3" w14:textId="77777777" w:rsidTr="007D07B7">
        <w:tc>
          <w:tcPr>
            <w:tcW w:w="6925" w:type="dxa"/>
          </w:tcPr>
          <w:p w14:paraId="6FB7A47E" w14:textId="0C719A26" w:rsidR="009A4780" w:rsidRPr="00386B18" w:rsidRDefault="005A297A" w:rsidP="005A297A">
            <w:pPr>
              <w:rPr>
                <w:sz w:val="22"/>
              </w:rPr>
            </w:pPr>
            <w:r w:rsidRPr="00386B18">
              <w:rPr>
                <w:sz w:val="22"/>
              </w:rPr>
              <w:t>Coronavirus premium allocation this academic year 2020/2021</w:t>
            </w:r>
            <w:bookmarkStart w:id="0" w:name="_GoBack"/>
            <w:bookmarkEnd w:id="0"/>
          </w:p>
        </w:tc>
        <w:tc>
          <w:tcPr>
            <w:tcW w:w="2070" w:type="dxa"/>
          </w:tcPr>
          <w:p w14:paraId="732E74ED" w14:textId="11B63941" w:rsidR="0083765A" w:rsidRPr="00386B18" w:rsidRDefault="000A1829" w:rsidP="00D67156">
            <w:pPr>
              <w:rPr>
                <w:sz w:val="22"/>
              </w:rPr>
            </w:pPr>
            <w:r>
              <w:rPr>
                <w:sz w:val="22"/>
              </w:rPr>
              <w:t>£42,720</w:t>
            </w:r>
          </w:p>
        </w:tc>
      </w:tr>
    </w:tbl>
    <w:p w14:paraId="70E3EA2F" w14:textId="752B0C41" w:rsidR="00F15EC0" w:rsidRPr="00386B18" w:rsidRDefault="003F055B" w:rsidP="00F15EC0">
      <w:pPr>
        <w:pStyle w:val="Heading2"/>
        <w:rPr>
          <w:color w:val="7030A0"/>
          <w:sz w:val="22"/>
          <w:szCs w:val="22"/>
        </w:rPr>
      </w:pPr>
      <w:r w:rsidRPr="00386B18">
        <w:rPr>
          <w:color w:val="7030A0"/>
          <w:sz w:val="22"/>
          <w:szCs w:val="22"/>
        </w:rPr>
        <w:lastRenderedPageBreak/>
        <w:t xml:space="preserve">Catch-up </w:t>
      </w:r>
      <w:r w:rsidR="00D67156" w:rsidRPr="00386B18">
        <w:rPr>
          <w:color w:val="7030A0"/>
          <w:sz w:val="22"/>
          <w:szCs w:val="22"/>
        </w:rPr>
        <w:t>p</w:t>
      </w:r>
      <w:r w:rsidR="00F15EC0" w:rsidRPr="00386B18">
        <w:rPr>
          <w:color w:val="7030A0"/>
          <w:sz w:val="22"/>
          <w:szCs w:val="22"/>
        </w:rPr>
        <w:t>riorities for current academic year 2020/2021</w:t>
      </w:r>
    </w:p>
    <w:p w14:paraId="68E09487" w14:textId="695552B8" w:rsidR="00C734EB" w:rsidRPr="00386B18" w:rsidRDefault="00C734EB" w:rsidP="00C734EB">
      <w:pPr>
        <w:rPr>
          <w:sz w:val="22"/>
          <w:lang w:eastAsia="en-GB"/>
        </w:rPr>
      </w:pPr>
      <w:r w:rsidRPr="00386B18">
        <w:rPr>
          <w:sz w:val="22"/>
          <w:lang w:eastAsia="en-GB"/>
        </w:rPr>
        <w:t>A</w:t>
      </w:r>
      <w:r w:rsidR="00853E94">
        <w:rPr>
          <w:sz w:val="22"/>
          <w:lang w:eastAsia="en-GB"/>
        </w:rPr>
        <w:t xml:space="preserve">t </w:t>
      </w:r>
      <w:r w:rsidR="000A1829">
        <w:rPr>
          <w:sz w:val="22"/>
          <w:lang w:eastAsia="en-GB"/>
        </w:rPr>
        <w:t xml:space="preserve">The Enterprise Learning Alliance </w:t>
      </w:r>
      <w:r w:rsidRPr="00386B18">
        <w:rPr>
          <w:sz w:val="22"/>
          <w:lang w:eastAsia="en-GB"/>
        </w:rPr>
        <w:t xml:space="preserve"> we intend to </w:t>
      </w:r>
      <w:r w:rsidR="00E03336" w:rsidRPr="00386B18">
        <w:rPr>
          <w:sz w:val="22"/>
          <w:lang w:eastAsia="en-GB"/>
        </w:rPr>
        <w:t>spend the Coronavirus catch-up premium in the following ways</w:t>
      </w:r>
      <w:r w:rsidR="007B6538" w:rsidRPr="00386B18">
        <w:rPr>
          <w:sz w:val="22"/>
          <w:lang w:eastAsia="en-GB"/>
        </w:rPr>
        <w:t>:</w:t>
      </w:r>
    </w:p>
    <w:p w14:paraId="7643A867" w14:textId="77777777" w:rsidR="00C734EB" w:rsidRPr="00386B18" w:rsidRDefault="00C734EB" w:rsidP="00C734EB">
      <w:pPr>
        <w:rPr>
          <w:sz w:val="22"/>
          <w:lang w:eastAsia="en-GB"/>
        </w:rPr>
      </w:pPr>
    </w:p>
    <w:tbl>
      <w:tblPr>
        <w:tblW w:w="9351" w:type="dxa"/>
        <w:tblCellMar>
          <w:left w:w="10" w:type="dxa"/>
          <w:right w:w="10" w:type="dxa"/>
        </w:tblCellMar>
        <w:tblLook w:val="04A0" w:firstRow="1" w:lastRow="0" w:firstColumn="1" w:lastColumn="0" w:noHBand="0" w:noVBand="1"/>
      </w:tblPr>
      <w:tblGrid>
        <w:gridCol w:w="1159"/>
        <w:gridCol w:w="5150"/>
        <w:gridCol w:w="930"/>
        <w:gridCol w:w="2112"/>
      </w:tblGrid>
      <w:tr w:rsidR="00246065" w:rsidRPr="00386B18" w14:paraId="5B96C0B2" w14:textId="014876FD" w:rsidTr="00750C1A">
        <w:trPr>
          <w:trHeight w:val="381"/>
        </w:trPr>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29BF5F9" w14:textId="6D0B34BD" w:rsidR="00246065" w:rsidRPr="00386B18" w:rsidRDefault="00246065" w:rsidP="00C0304C">
            <w:pPr>
              <w:pStyle w:val="TableRow"/>
              <w:rPr>
                <w:rFonts w:cs="Arial"/>
                <w:b/>
                <w:bCs/>
                <w:color w:val="auto"/>
                <w:sz w:val="22"/>
                <w:szCs w:val="22"/>
              </w:rPr>
            </w:pPr>
            <w:r w:rsidRPr="00386B18">
              <w:rPr>
                <w:rFonts w:cs="Arial"/>
                <w:b/>
                <w:bCs/>
                <w:color w:val="auto"/>
                <w:sz w:val="22"/>
                <w:szCs w:val="22"/>
              </w:rPr>
              <w:t>Priority</w:t>
            </w:r>
          </w:p>
        </w:tc>
        <w:tc>
          <w:tcPr>
            <w:tcW w:w="5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43836AF" w14:textId="77777777" w:rsidR="00246065" w:rsidRPr="00386B18" w:rsidRDefault="00246065" w:rsidP="00C0304C">
            <w:pPr>
              <w:pStyle w:val="TableRow"/>
              <w:rPr>
                <w:rFonts w:cs="Arial"/>
                <w:b/>
                <w:color w:val="auto"/>
                <w:sz w:val="22"/>
                <w:szCs w:val="22"/>
              </w:rPr>
            </w:pPr>
            <w:r w:rsidRPr="00386B18">
              <w:rPr>
                <w:rFonts w:cs="Arial"/>
                <w:b/>
                <w:color w:val="auto"/>
                <w:sz w:val="22"/>
                <w:szCs w:val="22"/>
              </w:rPr>
              <w:t>Activity</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7CDFA" w14:textId="5A45BCF0" w:rsidR="00246065" w:rsidRPr="00386B18" w:rsidRDefault="00246065" w:rsidP="00C0304C">
            <w:pPr>
              <w:pStyle w:val="TableRow"/>
              <w:rPr>
                <w:rFonts w:cs="Arial"/>
                <w:b/>
                <w:color w:val="auto"/>
                <w:sz w:val="22"/>
                <w:szCs w:val="22"/>
              </w:rPr>
            </w:pPr>
            <w:r w:rsidRPr="00386B18">
              <w:rPr>
                <w:rFonts w:cs="Arial"/>
                <w:b/>
                <w:color w:val="auto"/>
                <w:sz w:val="22"/>
                <w:szCs w:val="22"/>
              </w:rPr>
              <w:t>Cost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096C79" w14:textId="04D5447A" w:rsidR="00246065" w:rsidRPr="00386B18" w:rsidRDefault="00246065" w:rsidP="00C0304C">
            <w:pPr>
              <w:pStyle w:val="TableRow"/>
              <w:rPr>
                <w:rFonts w:cs="Arial"/>
                <w:b/>
                <w:color w:val="auto"/>
                <w:sz w:val="22"/>
                <w:szCs w:val="22"/>
              </w:rPr>
            </w:pPr>
            <w:r w:rsidRPr="00386B18">
              <w:rPr>
                <w:rFonts w:cs="Arial"/>
                <w:b/>
                <w:color w:val="auto"/>
                <w:sz w:val="22"/>
                <w:szCs w:val="22"/>
              </w:rPr>
              <w:t>Timescales</w:t>
            </w:r>
          </w:p>
        </w:tc>
      </w:tr>
      <w:tr w:rsidR="00246065" w:rsidRPr="00386B18" w14:paraId="2DE76C09" w14:textId="2AC07066" w:rsidTr="00750C1A">
        <w:trPr>
          <w:trHeight w:val="381"/>
        </w:trPr>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16B66CC" w14:textId="7EC2DDBF" w:rsidR="00246065" w:rsidRPr="00386B18" w:rsidRDefault="00246065" w:rsidP="00246065">
            <w:pPr>
              <w:pStyle w:val="TableRow"/>
              <w:ind w:left="0"/>
              <w:rPr>
                <w:rFonts w:cs="Arial"/>
                <w:color w:val="auto"/>
                <w:sz w:val="22"/>
                <w:szCs w:val="22"/>
              </w:rPr>
            </w:pPr>
            <w:r w:rsidRPr="00386B18">
              <w:rPr>
                <w:rFonts w:cs="Arial"/>
                <w:color w:val="auto"/>
                <w:sz w:val="22"/>
                <w:szCs w:val="22"/>
              </w:rPr>
              <w:t>1</w:t>
            </w:r>
          </w:p>
        </w:tc>
        <w:tc>
          <w:tcPr>
            <w:tcW w:w="5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0537CCC" w14:textId="7C9F8E72" w:rsidR="00246065" w:rsidRPr="00386B18" w:rsidRDefault="000A1829" w:rsidP="000A1829">
            <w:pPr>
              <w:pStyle w:val="TableRow"/>
              <w:rPr>
                <w:rFonts w:cs="Arial"/>
                <w:color w:val="auto"/>
                <w:sz w:val="22"/>
                <w:szCs w:val="22"/>
              </w:rPr>
            </w:pPr>
            <w:r>
              <w:rPr>
                <w:rFonts w:cs="Arial"/>
                <w:color w:val="auto"/>
                <w:sz w:val="22"/>
                <w:szCs w:val="22"/>
              </w:rPr>
              <w:t xml:space="preserve">Identify and supporting pupils where positive destinations may be at risk due to issues relating to </w:t>
            </w:r>
            <w:proofErr w:type="spellStart"/>
            <w:r>
              <w:rPr>
                <w:rFonts w:cs="Arial"/>
                <w:color w:val="auto"/>
                <w:sz w:val="22"/>
                <w:szCs w:val="22"/>
              </w:rPr>
              <w:t>covid</w:t>
            </w:r>
            <w:proofErr w:type="spellEnd"/>
            <w:r>
              <w:rPr>
                <w:rFonts w:cs="Arial"/>
                <w:color w:val="auto"/>
                <w:sz w:val="22"/>
                <w:szCs w:val="22"/>
              </w:rPr>
              <w:t xml:space="preserve"> 19 and wider school closure </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E37D4" w14:textId="08782DAB" w:rsidR="00246065" w:rsidRPr="00386B18" w:rsidRDefault="00F8533C" w:rsidP="00C0304C">
            <w:pPr>
              <w:pStyle w:val="TableRow"/>
              <w:rPr>
                <w:rFonts w:cs="Arial"/>
                <w:color w:val="auto"/>
                <w:sz w:val="22"/>
                <w:szCs w:val="22"/>
              </w:rPr>
            </w:pPr>
            <w:r>
              <w:rPr>
                <w:rFonts w:cs="Arial"/>
                <w:color w:val="auto"/>
                <w:sz w:val="22"/>
                <w:szCs w:val="22"/>
              </w:rPr>
              <w:t>£5,720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4BE5D" w14:textId="4029A379" w:rsidR="00246065" w:rsidRPr="00386B18" w:rsidRDefault="00F8533C" w:rsidP="00C0304C">
            <w:pPr>
              <w:pStyle w:val="TableRow"/>
              <w:rPr>
                <w:rFonts w:cs="Arial"/>
                <w:color w:val="auto"/>
                <w:sz w:val="22"/>
                <w:szCs w:val="22"/>
              </w:rPr>
            </w:pPr>
            <w:r>
              <w:rPr>
                <w:rFonts w:cs="Arial"/>
                <w:color w:val="auto"/>
                <w:sz w:val="22"/>
                <w:szCs w:val="22"/>
              </w:rPr>
              <w:t>Nov 20-April 21</w:t>
            </w:r>
          </w:p>
        </w:tc>
      </w:tr>
      <w:tr w:rsidR="00246065" w:rsidRPr="00386B18" w14:paraId="464B9B1B" w14:textId="24396A84" w:rsidTr="00750C1A">
        <w:trPr>
          <w:trHeight w:val="381"/>
        </w:trPr>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2286B84" w14:textId="00D0B74E" w:rsidR="00246065" w:rsidRPr="00386B18" w:rsidRDefault="00246065" w:rsidP="00246065">
            <w:pPr>
              <w:pStyle w:val="TableRow"/>
              <w:ind w:left="0"/>
              <w:rPr>
                <w:rFonts w:cs="Arial"/>
                <w:color w:val="auto"/>
                <w:sz w:val="22"/>
                <w:szCs w:val="22"/>
              </w:rPr>
            </w:pPr>
            <w:r w:rsidRPr="00386B18">
              <w:rPr>
                <w:rFonts w:cs="Arial"/>
                <w:color w:val="auto"/>
                <w:sz w:val="22"/>
                <w:szCs w:val="22"/>
              </w:rPr>
              <w:t>2</w:t>
            </w:r>
          </w:p>
        </w:tc>
        <w:tc>
          <w:tcPr>
            <w:tcW w:w="5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3B15D0E" w14:textId="044C7290" w:rsidR="00246065" w:rsidRPr="00386B18" w:rsidRDefault="000A1829" w:rsidP="00C0304C">
            <w:pPr>
              <w:pStyle w:val="TableRow"/>
              <w:rPr>
                <w:rFonts w:cs="Arial"/>
                <w:color w:val="auto"/>
                <w:sz w:val="22"/>
                <w:szCs w:val="22"/>
              </w:rPr>
            </w:pPr>
            <w:r>
              <w:rPr>
                <w:rFonts w:cs="Arial"/>
                <w:color w:val="auto"/>
                <w:sz w:val="22"/>
                <w:szCs w:val="22"/>
              </w:rPr>
              <w:t xml:space="preserve">Identify and support pupils where attendance and wider school closure may have an impact on their mental well-being and academic progress </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81EE43" w14:textId="02BFF610" w:rsidR="00246065" w:rsidRPr="00386B18" w:rsidRDefault="00F8533C" w:rsidP="00C0304C">
            <w:pPr>
              <w:pStyle w:val="TableRow"/>
              <w:rPr>
                <w:rFonts w:cs="Arial"/>
                <w:color w:val="auto"/>
                <w:sz w:val="22"/>
                <w:szCs w:val="22"/>
              </w:rPr>
            </w:pPr>
            <w:r>
              <w:rPr>
                <w:rFonts w:cs="Arial"/>
                <w:color w:val="auto"/>
                <w:sz w:val="22"/>
                <w:szCs w:val="22"/>
              </w:rPr>
              <w:t>£10,000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B81B8D" w14:textId="564FD223" w:rsidR="00750C1A" w:rsidRPr="00386B18" w:rsidRDefault="00F8533C" w:rsidP="00C0304C">
            <w:pPr>
              <w:pStyle w:val="TableRow"/>
              <w:rPr>
                <w:rFonts w:cs="Arial"/>
                <w:color w:val="auto"/>
                <w:sz w:val="22"/>
                <w:szCs w:val="22"/>
              </w:rPr>
            </w:pPr>
            <w:r>
              <w:rPr>
                <w:rFonts w:cs="Arial"/>
                <w:color w:val="auto"/>
                <w:sz w:val="22"/>
                <w:szCs w:val="22"/>
              </w:rPr>
              <w:t>Nov 21- July 21</w:t>
            </w:r>
          </w:p>
        </w:tc>
      </w:tr>
      <w:tr w:rsidR="00246065" w:rsidRPr="00386B18" w14:paraId="3C3ED66B" w14:textId="3C431043" w:rsidTr="00750C1A">
        <w:trPr>
          <w:trHeight w:val="381"/>
        </w:trPr>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D8A3D6A" w14:textId="60AD215D" w:rsidR="00246065" w:rsidRPr="00386B18" w:rsidRDefault="00246065" w:rsidP="00750C1A">
            <w:pPr>
              <w:pStyle w:val="TableRow"/>
              <w:ind w:left="0"/>
              <w:rPr>
                <w:rFonts w:cs="Arial"/>
                <w:color w:val="auto"/>
                <w:sz w:val="22"/>
                <w:szCs w:val="22"/>
              </w:rPr>
            </w:pPr>
            <w:r w:rsidRPr="00386B18">
              <w:rPr>
                <w:rFonts w:cs="Arial"/>
                <w:color w:val="auto"/>
                <w:sz w:val="22"/>
                <w:szCs w:val="22"/>
              </w:rPr>
              <w:t>3</w:t>
            </w:r>
          </w:p>
        </w:tc>
        <w:tc>
          <w:tcPr>
            <w:tcW w:w="5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B62E6D9" w14:textId="49662E85" w:rsidR="00246065" w:rsidRPr="00386B18" w:rsidRDefault="000A1829" w:rsidP="00C0304C">
            <w:pPr>
              <w:pStyle w:val="TableRow"/>
              <w:rPr>
                <w:rStyle w:val="PlaceholderText"/>
                <w:rFonts w:cs="Arial"/>
                <w:color w:val="auto"/>
                <w:sz w:val="22"/>
                <w:szCs w:val="22"/>
              </w:rPr>
            </w:pPr>
            <w:r>
              <w:rPr>
                <w:rStyle w:val="PlaceholderText"/>
                <w:rFonts w:cs="Arial"/>
                <w:color w:val="auto"/>
                <w:sz w:val="22"/>
                <w:szCs w:val="22"/>
              </w:rPr>
              <w:t xml:space="preserve">Support pupils to reduce gaps in their education through appropriate support; </w:t>
            </w:r>
            <w:r w:rsidRPr="00386B18">
              <w:rPr>
                <w:rFonts w:cs="Arial"/>
                <w:color w:val="auto"/>
                <w:sz w:val="22"/>
                <w:szCs w:val="22"/>
              </w:rPr>
              <w:t>address these through normal intervention and catch-up programmes and additional tuition and revision programmes and materials.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5B4C5C" w14:textId="37AC1FE0" w:rsidR="00246065" w:rsidRPr="00386B18" w:rsidRDefault="00F8533C" w:rsidP="00C0304C">
            <w:pPr>
              <w:pStyle w:val="TableRow"/>
              <w:rPr>
                <w:rStyle w:val="PlaceholderText"/>
                <w:rFonts w:cs="Arial"/>
                <w:color w:val="auto"/>
                <w:sz w:val="22"/>
                <w:szCs w:val="22"/>
              </w:rPr>
            </w:pPr>
            <w:r>
              <w:rPr>
                <w:rStyle w:val="PlaceholderText"/>
                <w:rFonts w:cs="Arial"/>
                <w:color w:val="auto"/>
                <w:sz w:val="22"/>
                <w:szCs w:val="22"/>
              </w:rPr>
              <w:t>£10,000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3A9FC" w14:textId="6815D080" w:rsidR="005677E6" w:rsidRPr="00386B18" w:rsidRDefault="00F8533C" w:rsidP="00C0304C">
            <w:pPr>
              <w:pStyle w:val="TableRow"/>
              <w:rPr>
                <w:rStyle w:val="PlaceholderText"/>
                <w:rFonts w:cs="Arial"/>
                <w:color w:val="auto"/>
                <w:sz w:val="22"/>
                <w:szCs w:val="22"/>
              </w:rPr>
            </w:pPr>
            <w:r>
              <w:rPr>
                <w:rStyle w:val="PlaceholderText"/>
                <w:rFonts w:cs="Arial"/>
                <w:color w:val="auto"/>
                <w:sz w:val="22"/>
                <w:szCs w:val="22"/>
              </w:rPr>
              <w:t>Nov 20- July 21</w:t>
            </w:r>
          </w:p>
        </w:tc>
      </w:tr>
      <w:tr w:rsidR="006A32CF" w:rsidRPr="00386B18" w14:paraId="4B3B50E7" w14:textId="77777777" w:rsidTr="00750C1A">
        <w:trPr>
          <w:trHeight w:val="381"/>
        </w:trPr>
        <w:tc>
          <w:tcPr>
            <w:tcW w:w="1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A850041" w14:textId="3D9B8CB4" w:rsidR="006A32CF" w:rsidRPr="00386B18" w:rsidRDefault="006A32CF" w:rsidP="00750C1A">
            <w:pPr>
              <w:pStyle w:val="TableRow"/>
              <w:ind w:left="0"/>
              <w:rPr>
                <w:rFonts w:cs="Arial"/>
                <w:color w:val="auto"/>
                <w:sz w:val="22"/>
                <w:szCs w:val="22"/>
              </w:rPr>
            </w:pPr>
            <w:r>
              <w:rPr>
                <w:rFonts w:cs="Arial"/>
                <w:color w:val="auto"/>
                <w:sz w:val="22"/>
                <w:szCs w:val="22"/>
              </w:rPr>
              <w:t>4</w:t>
            </w:r>
          </w:p>
        </w:tc>
        <w:tc>
          <w:tcPr>
            <w:tcW w:w="5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B67A34B" w14:textId="6DCDE7BB" w:rsidR="006A32CF" w:rsidRPr="00386B18" w:rsidRDefault="000A1829" w:rsidP="00C0304C">
            <w:pPr>
              <w:pStyle w:val="TableRow"/>
              <w:rPr>
                <w:rStyle w:val="PlaceholderText"/>
                <w:rFonts w:cs="Arial"/>
                <w:color w:val="auto"/>
                <w:sz w:val="22"/>
                <w:szCs w:val="22"/>
              </w:rPr>
            </w:pPr>
            <w:r>
              <w:rPr>
                <w:rStyle w:val="PlaceholderText"/>
                <w:rFonts w:cs="Arial"/>
                <w:color w:val="auto"/>
                <w:sz w:val="22"/>
                <w:szCs w:val="22"/>
              </w:rPr>
              <w:t xml:space="preserve">Support pupils mental well-being through identifying appropriate support </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03A62" w14:textId="6863D9F6" w:rsidR="006A32CF" w:rsidRPr="00386B18" w:rsidRDefault="00671EA3" w:rsidP="00C0304C">
            <w:pPr>
              <w:pStyle w:val="TableRow"/>
              <w:rPr>
                <w:rStyle w:val="PlaceholderText"/>
                <w:rFonts w:cs="Arial"/>
                <w:color w:val="auto"/>
                <w:sz w:val="22"/>
                <w:szCs w:val="22"/>
              </w:rPr>
            </w:pPr>
            <w:r>
              <w:rPr>
                <w:rStyle w:val="PlaceholderText"/>
                <w:rFonts w:cs="Arial"/>
                <w:color w:val="auto"/>
                <w:sz w:val="22"/>
                <w:szCs w:val="22"/>
              </w:rPr>
              <w:t>£17,000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C75AE" w14:textId="7631CD55" w:rsidR="006A32CF" w:rsidRPr="00386B18" w:rsidRDefault="00671EA3" w:rsidP="00C0304C">
            <w:pPr>
              <w:pStyle w:val="TableRow"/>
              <w:rPr>
                <w:rStyle w:val="PlaceholderText"/>
                <w:rFonts w:cs="Arial"/>
                <w:color w:val="auto"/>
                <w:sz w:val="22"/>
                <w:szCs w:val="22"/>
              </w:rPr>
            </w:pPr>
            <w:r>
              <w:rPr>
                <w:rStyle w:val="PlaceholderText"/>
                <w:rFonts w:cs="Arial"/>
                <w:color w:val="auto"/>
                <w:sz w:val="22"/>
                <w:szCs w:val="22"/>
              </w:rPr>
              <w:t>November 20– July 21</w:t>
            </w:r>
          </w:p>
        </w:tc>
      </w:tr>
    </w:tbl>
    <w:p w14:paraId="1C0113C4" w14:textId="77777777" w:rsidR="00750C1A" w:rsidRPr="00386B18" w:rsidRDefault="00750C1A" w:rsidP="004F485C">
      <w:pPr>
        <w:rPr>
          <w:sz w:val="22"/>
          <w:lang w:eastAsia="en-GB"/>
        </w:rPr>
      </w:pPr>
    </w:p>
    <w:p w14:paraId="18EE0206" w14:textId="6B106663" w:rsidR="004F485C" w:rsidRPr="00386B18" w:rsidRDefault="004F485C" w:rsidP="004F485C">
      <w:pPr>
        <w:rPr>
          <w:sz w:val="22"/>
          <w:lang w:eastAsia="en-GB"/>
        </w:rPr>
      </w:pPr>
      <w:r w:rsidRPr="00386B18">
        <w:rPr>
          <w:sz w:val="22"/>
          <w:lang w:eastAsia="en-GB"/>
        </w:rPr>
        <w:t>A</w:t>
      </w:r>
      <w:r w:rsidR="008F0351">
        <w:rPr>
          <w:sz w:val="22"/>
          <w:lang w:eastAsia="en-GB"/>
        </w:rPr>
        <w:t xml:space="preserve">t </w:t>
      </w:r>
      <w:r w:rsidR="000A1829">
        <w:rPr>
          <w:sz w:val="22"/>
          <w:lang w:eastAsia="en-GB"/>
        </w:rPr>
        <w:t xml:space="preserve">The Enterprise Learning Alliance </w:t>
      </w:r>
      <w:r w:rsidR="008F0351">
        <w:rPr>
          <w:sz w:val="22"/>
          <w:lang w:eastAsia="en-GB"/>
        </w:rPr>
        <w:t>,</w:t>
      </w:r>
      <w:r w:rsidR="00853E94">
        <w:rPr>
          <w:sz w:val="22"/>
          <w:lang w:eastAsia="en-GB"/>
        </w:rPr>
        <w:t xml:space="preserve"> </w:t>
      </w:r>
      <w:r w:rsidR="00B67544" w:rsidRPr="00386B18">
        <w:rPr>
          <w:sz w:val="22"/>
          <w:lang w:eastAsia="en-GB"/>
        </w:rPr>
        <w:t xml:space="preserve">we will assess the </w:t>
      </w:r>
      <w:r w:rsidR="008A10AE" w:rsidRPr="00386B18">
        <w:rPr>
          <w:rFonts w:cs="Arial"/>
          <w:color w:val="0B0C0C"/>
          <w:sz w:val="22"/>
          <w:shd w:val="clear" w:color="auto" w:fill="FFFFFF"/>
        </w:rPr>
        <w:t xml:space="preserve">effect of this expenditure on the </w:t>
      </w:r>
      <w:r w:rsidR="008A10AE" w:rsidRPr="00386B18">
        <w:rPr>
          <w:rFonts w:cs="Arial"/>
          <w:b/>
          <w:bCs/>
          <w:color w:val="0B0C0C"/>
          <w:sz w:val="22"/>
          <w:shd w:val="clear" w:color="auto" w:fill="FFFFFF"/>
        </w:rPr>
        <w:t>educational attainment</w:t>
      </w:r>
      <w:r w:rsidR="008A10AE" w:rsidRPr="00386B18">
        <w:rPr>
          <w:rFonts w:cs="Arial"/>
          <w:color w:val="0B0C0C"/>
          <w:sz w:val="22"/>
          <w:shd w:val="clear" w:color="auto" w:fill="FFFFFF"/>
        </w:rPr>
        <w:t xml:space="preserve"> of those pupils </w:t>
      </w:r>
      <w:r w:rsidR="00B67544" w:rsidRPr="00386B18">
        <w:rPr>
          <w:rFonts w:cs="Arial"/>
          <w:color w:val="0B0C0C"/>
          <w:sz w:val="22"/>
          <w:shd w:val="clear" w:color="auto" w:fill="FFFFFF"/>
        </w:rPr>
        <w:t>in the following ways:</w:t>
      </w:r>
    </w:p>
    <w:p w14:paraId="3E9BA962" w14:textId="77777777" w:rsidR="004F485C" w:rsidRPr="00386B18" w:rsidRDefault="004F485C" w:rsidP="004F485C">
      <w:pPr>
        <w:rPr>
          <w:sz w:val="22"/>
          <w:lang w:eastAsia="en-GB"/>
        </w:rPr>
      </w:pPr>
    </w:p>
    <w:tbl>
      <w:tblPr>
        <w:tblW w:w="9493" w:type="dxa"/>
        <w:tblCellMar>
          <w:left w:w="10" w:type="dxa"/>
          <w:right w:w="10" w:type="dxa"/>
        </w:tblCellMar>
        <w:tblLook w:val="04A0" w:firstRow="1" w:lastRow="0" w:firstColumn="1" w:lastColumn="0" w:noHBand="0" w:noVBand="1"/>
      </w:tblPr>
      <w:tblGrid>
        <w:gridCol w:w="1129"/>
        <w:gridCol w:w="8364"/>
      </w:tblGrid>
      <w:tr w:rsidR="00F11402" w:rsidRPr="00386B18" w14:paraId="50E43651" w14:textId="77777777" w:rsidTr="005677E6">
        <w:trPr>
          <w:trHeight w:val="381"/>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F13F9EF" w14:textId="7E0289C4" w:rsidR="00F11402" w:rsidRPr="00386B18" w:rsidRDefault="005677E6" w:rsidP="005677E6">
            <w:pPr>
              <w:pStyle w:val="TableRow"/>
              <w:jc w:val="center"/>
              <w:rPr>
                <w:sz w:val="22"/>
                <w:szCs w:val="22"/>
              </w:rPr>
            </w:pPr>
            <w:r w:rsidRPr="00386B18">
              <w:rPr>
                <w:b/>
                <w:sz w:val="22"/>
                <w:szCs w:val="22"/>
              </w:rPr>
              <w:t>Priority</w:t>
            </w:r>
          </w:p>
        </w:tc>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C681B18" w14:textId="60ACCED8" w:rsidR="00F11402" w:rsidRPr="00386B18" w:rsidRDefault="005677E6" w:rsidP="005677E6">
            <w:pPr>
              <w:pStyle w:val="TableRow"/>
              <w:jc w:val="center"/>
              <w:rPr>
                <w:b/>
                <w:sz w:val="22"/>
                <w:szCs w:val="22"/>
              </w:rPr>
            </w:pPr>
            <w:r w:rsidRPr="00386B18">
              <w:rPr>
                <w:b/>
                <w:sz w:val="22"/>
                <w:szCs w:val="22"/>
              </w:rPr>
              <w:t>Measures</w:t>
            </w:r>
          </w:p>
        </w:tc>
      </w:tr>
      <w:tr w:rsidR="00F11402" w:rsidRPr="00386B18" w14:paraId="0C003CFB" w14:textId="77777777" w:rsidTr="005677E6">
        <w:trPr>
          <w:trHeight w:val="381"/>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E04B005" w14:textId="1801BB7B" w:rsidR="00F11402" w:rsidRPr="00386B18" w:rsidRDefault="00F11402" w:rsidP="005677E6">
            <w:pPr>
              <w:pStyle w:val="TableRow"/>
              <w:ind w:left="0"/>
              <w:rPr>
                <w:color w:val="auto"/>
                <w:sz w:val="22"/>
                <w:szCs w:val="22"/>
              </w:rPr>
            </w:pPr>
            <w:r w:rsidRPr="00386B18">
              <w:rPr>
                <w:rFonts w:cs="Calibri"/>
                <w:color w:val="auto"/>
                <w:sz w:val="22"/>
                <w:szCs w:val="22"/>
              </w:rPr>
              <w:t>1</w:t>
            </w:r>
          </w:p>
        </w:tc>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348FEA5" w14:textId="77777777" w:rsidR="00A224BB" w:rsidRDefault="00F8533C" w:rsidP="00C0304C">
            <w:pPr>
              <w:pStyle w:val="TableRow"/>
              <w:rPr>
                <w:color w:val="auto"/>
                <w:sz w:val="22"/>
                <w:szCs w:val="22"/>
              </w:rPr>
            </w:pPr>
            <w:proofErr w:type="spellStart"/>
            <w:r>
              <w:rPr>
                <w:color w:val="auto"/>
                <w:sz w:val="22"/>
                <w:szCs w:val="22"/>
              </w:rPr>
              <w:t>Neet</w:t>
            </w:r>
            <w:proofErr w:type="spellEnd"/>
            <w:r>
              <w:rPr>
                <w:color w:val="auto"/>
                <w:sz w:val="22"/>
                <w:szCs w:val="22"/>
              </w:rPr>
              <w:t xml:space="preserve"> figure reduces and pupils remain in positive destinations – MIS Data </w:t>
            </w:r>
          </w:p>
          <w:p w14:paraId="74E18D8C" w14:textId="0C73ED6D" w:rsidR="00F8533C" w:rsidRPr="00386B18" w:rsidRDefault="00F8533C" w:rsidP="00C0304C">
            <w:pPr>
              <w:pStyle w:val="TableRow"/>
              <w:rPr>
                <w:color w:val="auto"/>
                <w:sz w:val="22"/>
                <w:szCs w:val="22"/>
              </w:rPr>
            </w:pPr>
            <w:r>
              <w:rPr>
                <w:color w:val="auto"/>
                <w:sz w:val="22"/>
                <w:szCs w:val="22"/>
              </w:rPr>
              <w:t xml:space="preserve">Close monitoring via telephone/Teams of last </w:t>
            </w:r>
            <w:proofErr w:type="spellStart"/>
            <w:r>
              <w:rPr>
                <w:color w:val="auto"/>
                <w:sz w:val="22"/>
                <w:szCs w:val="22"/>
              </w:rPr>
              <w:t>years</w:t>
            </w:r>
            <w:proofErr w:type="spellEnd"/>
            <w:r>
              <w:rPr>
                <w:color w:val="auto"/>
                <w:sz w:val="22"/>
                <w:szCs w:val="22"/>
              </w:rPr>
              <w:t xml:space="preserve"> students, Additional FLO support ( </w:t>
            </w:r>
            <w:proofErr w:type="spellStart"/>
            <w:r>
              <w:rPr>
                <w:color w:val="auto"/>
                <w:sz w:val="22"/>
                <w:szCs w:val="22"/>
              </w:rPr>
              <w:t>poss.via</w:t>
            </w:r>
            <w:proofErr w:type="spellEnd"/>
            <w:r>
              <w:rPr>
                <w:color w:val="auto"/>
                <w:sz w:val="22"/>
                <w:szCs w:val="22"/>
              </w:rPr>
              <w:t xml:space="preserve"> KCC FLO)</w:t>
            </w:r>
          </w:p>
        </w:tc>
      </w:tr>
      <w:tr w:rsidR="00F11402" w:rsidRPr="00386B18" w14:paraId="4910DBD3" w14:textId="77777777" w:rsidTr="005677E6">
        <w:trPr>
          <w:trHeight w:val="381"/>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0302C40" w14:textId="15822C70" w:rsidR="00F11402" w:rsidRPr="00386B18" w:rsidRDefault="00F11402" w:rsidP="00C0304C">
            <w:pPr>
              <w:pStyle w:val="TableRow"/>
              <w:rPr>
                <w:rFonts w:cs="Calibri"/>
                <w:color w:val="auto"/>
                <w:sz w:val="22"/>
                <w:szCs w:val="22"/>
              </w:rPr>
            </w:pPr>
            <w:r w:rsidRPr="00386B18">
              <w:rPr>
                <w:rFonts w:cs="Calibri"/>
                <w:color w:val="auto"/>
                <w:sz w:val="22"/>
                <w:szCs w:val="22"/>
              </w:rPr>
              <w:t>2</w:t>
            </w:r>
          </w:p>
        </w:tc>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31E362A" w14:textId="3A246829" w:rsidR="00F11402" w:rsidRPr="00386B18" w:rsidRDefault="00F8533C" w:rsidP="00807921">
            <w:pPr>
              <w:pStyle w:val="TableRow"/>
              <w:rPr>
                <w:color w:val="auto"/>
                <w:sz w:val="22"/>
                <w:szCs w:val="22"/>
              </w:rPr>
            </w:pPr>
            <w:r>
              <w:rPr>
                <w:color w:val="auto"/>
                <w:sz w:val="22"/>
                <w:szCs w:val="22"/>
              </w:rPr>
              <w:t xml:space="preserve">Attendance improves across the PRU – Close monitoring of attendance. Focused and rapid response and action if pupil attendance starts to fall, Offer of pupil collection via Mini bus (where available), Zoom and telephone support and advice. </w:t>
            </w:r>
          </w:p>
        </w:tc>
      </w:tr>
      <w:tr w:rsidR="00F11402" w:rsidRPr="00386B18" w14:paraId="4AB66102" w14:textId="77777777" w:rsidTr="005677E6">
        <w:trPr>
          <w:trHeight w:val="381"/>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6CE0B77" w14:textId="3DEF747E" w:rsidR="00F11402" w:rsidRPr="00386B18" w:rsidRDefault="00F11402" w:rsidP="00C0304C">
            <w:pPr>
              <w:pStyle w:val="TableRow"/>
              <w:rPr>
                <w:rFonts w:cs="Calibri"/>
                <w:color w:val="auto"/>
                <w:sz w:val="22"/>
                <w:szCs w:val="22"/>
              </w:rPr>
            </w:pPr>
            <w:r w:rsidRPr="00386B18">
              <w:rPr>
                <w:rFonts w:cs="Calibri"/>
                <w:color w:val="auto"/>
                <w:sz w:val="22"/>
                <w:szCs w:val="22"/>
              </w:rPr>
              <w:t>3</w:t>
            </w:r>
          </w:p>
        </w:tc>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EBC729E" w14:textId="77777777" w:rsidR="00CB3D59" w:rsidRDefault="001F2750" w:rsidP="000A1829">
            <w:pPr>
              <w:pStyle w:val="TableRow"/>
              <w:ind w:left="0"/>
              <w:rPr>
                <w:rStyle w:val="PlaceholderText"/>
                <w:color w:val="auto"/>
                <w:sz w:val="22"/>
                <w:szCs w:val="22"/>
              </w:rPr>
            </w:pPr>
            <w:r>
              <w:rPr>
                <w:rStyle w:val="PlaceholderText"/>
                <w:color w:val="auto"/>
                <w:sz w:val="22"/>
                <w:szCs w:val="22"/>
              </w:rPr>
              <w:t>Revision material to be purchased for all pupils</w:t>
            </w:r>
          </w:p>
          <w:p w14:paraId="5775159A" w14:textId="77777777" w:rsidR="001F2750" w:rsidRDefault="001F2750" w:rsidP="000A1829">
            <w:pPr>
              <w:pStyle w:val="TableRow"/>
              <w:ind w:left="0"/>
              <w:rPr>
                <w:rStyle w:val="PlaceholderText"/>
                <w:color w:val="auto"/>
                <w:sz w:val="22"/>
                <w:szCs w:val="22"/>
              </w:rPr>
            </w:pPr>
            <w:r>
              <w:rPr>
                <w:rStyle w:val="PlaceholderText"/>
                <w:color w:val="auto"/>
                <w:sz w:val="22"/>
                <w:szCs w:val="22"/>
              </w:rPr>
              <w:t>Focus on the development of reading across the provision to improve focus and vocabulary</w:t>
            </w:r>
          </w:p>
          <w:p w14:paraId="499A9797" w14:textId="7694AC96" w:rsidR="001F2750" w:rsidRPr="00386B18" w:rsidRDefault="001F2750" w:rsidP="000A1829">
            <w:pPr>
              <w:pStyle w:val="TableRow"/>
              <w:ind w:left="0"/>
              <w:rPr>
                <w:rStyle w:val="PlaceholderText"/>
                <w:color w:val="auto"/>
                <w:sz w:val="22"/>
                <w:szCs w:val="22"/>
              </w:rPr>
            </w:pPr>
            <w:r>
              <w:rPr>
                <w:rStyle w:val="PlaceholderText"/>
                <w:color w:val="auto"/>
                <w:sz w:val="22"/>
                <w:szCs w:val="22"/>
              </w:rPr>
              <w:t>Intervention to be planned and monitored</w:t>
            </w:r>
          </w:p>
        </w:tc>
      </w:tr>
      <w:tr w:rsidR="00455EF6" w:rsidRPr="00386B18" w14:paraId="7BF6610B" w14:textId="77777777" w:rsidTr="005677E6">
        <w:trPr>
          <w:trHeight w:val="381"/>
        </w:trPr>
        <w:tc>
          <w:tcPr>
            <w:tcW w:w="1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E8D3B67" w14:textId="35F5E718" w:rsidR="00455EF6" w:rsidRPr="00386B18" w:rsidRDefault="00455EF6" w:rsidP="00C0304C">
            <w:pPr>
              <w:pStyle w:val="TableRow"/>
              <w:rPr>
                <w:rFonts w:cs="Calibri"/>
                <w:color w:val="auto"/>
                <w:sz w:val="22"/>
                <w:szCs w:val="22"/>
              </w:rPr>
            </w:pPr>
            <w:r>
              <w:rPr>
                <w:rFonts w:cs="Calibri"/>
                <w:color w:val="auto"/>
                <w:sz w:val="22"/>
                <w:szCs w:val="22"/>
              </w:rPr>
              <w:t>4</w:t>
            </w:r>
          </w:p>
        </w:tc>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F864498" w14:textId="117A7921" w:rsidR="00B72EC4" w:rsidRDefault="00BF3697" w:rsidP="00C0304C">
            <w:pPr>
              <w:pStyle w:val="TableRow"/>
              <w:rPr>
                <w:rStyle w:val="PlaceholderText"/>
                <w:color w:val="auto"/>
                <w:sz w:val="22"/>
                <w:szCs w:val="22"/>
              </w:rPr>
            </w:pPr>
            <w:r>
              <w:rPr>
                <w:rStyle w:val="PlaceholderText"/>
                <w:color w:val="auto"/>
                <w:sz w:val="22"/>
                <w:szCs w:val="22"/>
              </w:rPr>
              <w:t xml:space="preserve">Additional counselling sessions put in place to support the mental </w:t>
            </w:r>
          </w:p>
          <w:p w14:paraId="7B2CAD04" w14:textId="3D8C041B" w:rsidR="00BF3697" w:rsidRPr="00386B18" w:rsidRDefault="00BF3697" w:rsidP="00C0304C">
            <w:pPr>
              <w:pStyle w:val="TableRow"/>
              <w:rPr>
                <w:rStyle w:val="PlaceholderText"/>
                <w:color w:val="auto"/>
                <w:sz w:val="22"/>
                <w:szCs w:val="22"/>
              </w:rPr>
            </w:pPr>
          </w:p>
        </w:tc>
      </w:tr>
      <w:tr w:rsidR="00386B18" w:rsidRPr="00386B18" w14:paraId="410AE7C1" w14:textId="77777777" w:rsidTr="00422645">
        <w:trPr>
          <w:trHeight w:val="381"/>
        </w:trPr>
        <w:tc>
          <w:tcPr>
            <w:tcW w:w="94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985E766" w14:textId="25C4502F" w:rsidR="00386B18" w:rsidRPr="00386B18" w:rsidRDefault="00386B18" w:rsidP="00386B18">
            <w:pPr>
              <w:pStyle w:val="TableRow"/>
              <w:jc w:val="center"/>
              <w:rPr>
                <w:rStyle w:val="PlaceholderText"/>
                <w:b/>
                <w:bCs/>
                <w:color w:val="auto"/>
                <w:sz w:val="22"/>
                <w:szCs w:val="22"/>
              </w:rPr>
            </w:pPr>
            <w:r w:rsidRPr="00386B18">
              <w:rPr>
                <w:rStyle w:val="PlaceholderText"/>
                <w:b/>
                <w:bCs/>
                <w:color w:val="auto"/>
                <w:sz w:val="22"/>
                <w:szCs w:val="22"/>
              </w:rPr>
              <w:t>We will report the specific impact on closing of gaps, progress, attendance and parental/pupil engagement as the programmes are delivered and evaluated.</w:t>
            </w:r>
          </w:p>
        </w:tc>
      </w:tr>
    </w:tbl>
    <w:p w14:paraId="780F69D5" w14:textId="025C01F9" w:rsidR="00F15EC0" w:rsidRDefault="00F15EC0" w:rsidP="00D70432"/>
    <w:sectPr w:rsidR="00F15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7C86"/>
    <w:multiLevelType w:val="hybridMultilevel"/>
    <w:tmpl w:val="FC0E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244B3"/>
    <w:multiLevelType w:val="multilevel"/>
    <w:tmpl w:val="72B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0F4E61"/>
    <w:multiLevelType w:val="hybridMultilevel"/>
    <w:tmpl w:val="572E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43C55"/>
    <w:multiLevelType w:val="multilevel"/>
    <w:tmpl w:val="877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A33E45"/>
    <w:multiLevelType w:val="hybridMultilevel"/>
    <w:tmpl w:val="45E4ACD6"/>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 w15:restartNumberingAfterBreak="0">
    <w:nsid w:val="6F100AA5"/>
    <w:multiLevelType w:val="multilevel"/>
    <w:tmpl w:val="1486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A336D9"/>
    <w:multiLevelType w:val="multilevel"/>
    <w:tmpl w:val="9DB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C6444B"/>
    <w:multiLevelType w:val="multilevel"/>
    <w:tmpl w:val="43A4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C759F4"/>
    <w:multiLevelType w:val="hybridMultilevel"/>
    <w:tmpl w:val="BF00FD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5"/>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0A"/>
    <w:rsid w:val="0002399B"/>
    <w:rsid w:val="00034C42"/>
    <w:rsid w:val="00054734"/>
    <w:rsid w:val="00081620"/>
    <w:rsid w:val="000877C8"/>
    <w:rsid w:val="000A1829"/>
    <w:rsid w:val="000B6400"/>
    <w:rsid w:val="000C3CB1"/>
    <w:rsid w:val="000C50A7"/>
    <w:rsid w:val="001D3FEA"/>
    <w:rsid w:val="001F2750"/>
    <w:rsid w:val="001F2D5C"/>
    <w:rsid w:val="00203028"/>
    <w:rsid w:val="00235ECE"/>
    <w:rsid w:val="00244A44"/>
    <w:rsid w:val="00246065"/>
    <w:rsid w:val="00272D27"/>
    <w:rsid w:val="002A455B"/>
    <w:rsid w:val="002A5554"/>
    <w:rsid w:val="002E2A4F"/>
    <w:rsid w:val="002F0419"/>
    <w:rsid w:val="00303A83"/>
    <w:rsid w:val="00320172"/>
    <w:rsid w:val="00386B18"/>
    <w:rsid w:val="00387FE2"/>
    <w:rsid w:val="003D05C7"/>
    <w:rsid w:val="003E47AF"/>
    <w:rsid w:val="003F055B"/>
    <w:rsid w:val="004374C2"/>
    <w:rsid w:val="00455EF6"/>
    <w:rsid w:val="00492CDE"/>
    <w:rsid w:val="004E4C80"/>
    <w:rsid w:val="004F485C"/>
    <w:rsid w:val="00507E88"/>
    <w:rsid w:val="00522750"/>
    <w:rsid w:val="00532242"/>
    <w:rsid w:val="005571BF"/>
    <w:rsid w:val="00564470"/>
    <w:rsid w:val="005677E6"/>
    <w:rsid w:val="005A297A"/>
    <w:rsid w:val="005B0A3C"/>
    <w:rsid w:val="005B660E"/>
    <w:rsid w:val="00600837"/>
    <w:rsid w:val="0063277A"/>
    <w:rsid w:val="00671EA3"/>
    <w:rsid w:val="006A32CF"/>
    <w:rsid w:val="006A473E"/>
    <w:rsid w:val="006B2F34"/>
    <w:rsid w:val="006D0EC2"/>
    <w:rsid w:val="006F4C75"/>
    <w:rsid w:val="00716611"/>
    <w:rsid w:val="00742627"/>
    <w:rsid w:val="00750C1A"/>
    <w:rsid w:val="00782D8E"/>
    <w:rsid w:val="0079451B"/>
    <w:rsid w:val="007B088A"/>
    <w:rsid w:val="007B6538"/>
    <w:rsid w:val="007D07B7"/>
    <w:rsid w:val="00807921"/>
    <w:rsid w:val="0083765A"/>
    <w:rsid w:val="00853E94"/>
    <w:rsid w:val="008A10AE"/>
    <w:rsid w:val="008C2E37"/>
    <w:rsid w:val="008F0351"/>
    <w:rsid w:val="00906D8E"/>
    <w:rsid w:val="009352D4"/>
    <w:rsid w:val="00946C4D"/>
    <w:rsid w:val="0099247F"/>
    <w:rsid w:val="009A4780"/>
    <w:rsid w:val="009C71CC"/>
    <w:rsid w:val="009E6FF6"/>
    <w:rsid w:val="00A13EDB"/>
    <w:rsid w:val="00A224BB"/>
    <w:rsid w:val="00A272F5"/>
    <w:rsid w:val="00A62A74"/>
    <w:rsid w:val="00AA03E9"/>
    <w:rsid w:val="00AB4BFA"/>
    <w:rsid w:val="00AE2953"/>
    <w:rsid w:val="00AF0E2C"/>
    <w:rsid w:val="00B13A72"/>
    <w:rsid w:val="00B25DAE"/>
    <w:rsid w:val="00B6238F"/>
    <w:rsid w:val="00B67544"/>
    <w:rsid w:val="00B72EC4"/>
    <w:rsid w:val="00B87E1A"/>
    <w:rsid w:val="00BA2DA0"/>
    <w:rsid w:val="00BB5F1C"/>
    <w:rsid w:val="00BB6BDB"/>
    <w:rsid w:val="00BD17D1"/>
    <w:rsid w:val="00BF3697"/>
    <w:rsid w:val="00C062F0"/>
    <w:rsid w:val="00C168E4"/>
    <w:rsid w:val="00C40FA8"/>
    <w:rsid w:val="00C4100A"/>
    <w:rsid w:val="00C734EB"/>
    <w:rsid w:val="00C80926"/>
    <w:rsid w:val="00CA0513"/>
    <w:rsid w:val="00CB3D59"/>
    <w:rsid w:val="00CB3DA9"/>
    <w:rsid w:val="00CF03D6"/>
    <w:rsid w:val="00D01770"/>
    <w:rsid w:val="00D20D58"/>
    <w:rsid w:val="00D67156"/>
    <w:rsid w:val="00D70432"/>
    <w:rsid w:val="00D94876"/>
    <w:rsid w:val="00E03336"/>
    <w:rsid w:val="00E1100E"/>
    <w:rsid w:val="00E443F2"/>
    <w:rsid w:val="00E4713A"/>
    <w:rsid w:val="00E72E83"/>
    <w:rsid w:val="00E926F7"/>
    <w:rsid w:val="00EF2B4C"/>
    <w:rsid w:val="00EF517F"/>
    <w:rsid w:val="00F01364"/>
    <w:rsid w:val="00F11402"/>
    <w:rsid w:val="00F15EC0"/>
    <w:rsid w:val="00F65D96"/>
    <w:rsid w:val="00F8533C"/>
    <w:rsid w:val="00FB7247"/>
    <w:rsid w:val="00FD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AC85"/>
  <w15:docId w15:val="{49D4009F-A8AE-454F-80E1-7E748517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15EC0"/>
    <w:pPr>
      <w:keepNext/>
      <w:suppressAutoHyphens/>
      <w:autoSpaceDN w:val="0"/>
      <w:spacing w:before="480" w:after="240"/>
      <w:textAlignment w:val="baseline"/>
      <w:outlineLvl w:val="1"/>
    </w:pPr>
    <w:rPr>
      <w:rFonts w:eastAsia="Times New Roman"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100A"/>
    <w:pPr>
      <w:tabs>
        <w:tab w:val="center" w:pos="4153"/>
        <w:tab w:val="right" w:pos="8306"/>
      </w:tabs>
    </w:pPr>
    <w:rPr>
      <w:rFonts w:eastAsia="Times New Roman" w:cs="Times New Roman"/>
      <w:sz w:val="22"/>
      <w:lang w:eastAsia="en-GB"/>
    </w:rPr>
  </w:style>
  <w:style w:type="character" w:customStyle="1" w:styleId="HeaderChar">
    <w:name w:val="Header Char"/>
    <w:basedOn w:val="DefaultParagraphFont"/>
    <w:link w:val="Header"/>
    <w:uiPriority w:val="99"/>
    <w:rsid w:val="00C4100A"/>
    <w:rPr>
      <w:rFonts w:eastAsia="Times New Roman" w:cs="Times New Roman"/>
      <w:sz w:val="22"/>
      <w:lang w:eastAsia="en-GB"/>
    </w:rPr>
  </w:style>
  <w:style w:type="paragraph" w:styleId="BalloonText">
    <w:name w:val="Balloon Text"/>
    <w:basedOn w:val="Normal"/>
    <w:link w:val="BalloonTextChar"/>
    <w:uiPriority w:val="99"/>
    <w:semiHidden/>
    <w:unhideWhenUsed/>
    <w:rsid w:val="00C41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0A"/>
    <w:rPr>
      <w:rFonts w:ascii="Segoe UI" w:hAnsi="Segoe UI" w:cs="Segoe UI"/>
      <w:sz w:val="18"/>
      <w:szCs w:val="18"/>
    </w:rPr>
  </w:style>
  <w:style w:type="paragraph" w:customStyle="1" w:styleId="Default">
    <w:name w:val="Default"/>
    <w:rsid w:val="00C4100A"/>
    <w:pPr>
      <w:autoSpaceDE w:val="0"/>
      <w:autoSpaceDN w:val="0"/>
      <w:adjustRightInd w:val="0"/>
    </w:pPr>
    <w:rPr>
      <w:rFonts w:ascii="Calibri" w:hAnsi="Calibri"/>
      <w:color w:val="000000"/>
      <w:szCs w:val="24"/>
    </w:rPr>
  </w:style>
  <w:style w:type="paragraph" w:styleId="ListParagraph">
    <w:name w:val="List Paragraph"/>
    <w:basedOn w:val="Normal"/>
    <w:uiPriority w:val="34"/>
    <w:qFormat/>
    <w:rsid w:val="00AE2953"/>
    <w:pPr>
      <w:ind w:left="720"/>
      <w:contextualSpacing/>
    </w:pPr>
  </w:style>
  <w:style w:type="paragraph" w:styleId="NormalWeb">
    <w:name w:val="Normal (Web)"/>
    <w:basedOn w:val="Normal"/>
    <w:uiPriority w:val="99"/>
    <w:semiHidden/>
    <w:unhideWhenUsed/>
    <w:rsid w:val="004E4C80"/>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E4C80"/>
  </w:style>
  <w:style w:type="character" w:styleId="Hyperlink">
    <w:name w:val="Hyperlink"/>
    <w:basedOn w:val="DefaultParagraphFont"/>
    <w:uiPriority w:val="99"/>
    <w:semiHidden/>
    <w:unhideWhenUsed/>
    <w:rsid w:val="004E4C80"/>
    <w:rPr>
      <w:color w:val="0000FF"/>
      <w:u w:val="single"/>
    </w:rPr>
  </w:style>
  <w:style w:type="character" w:styleId="CommentReference">
    <w:name w:val="annotation reference"/>
    <w:basedOn w:val="DefaultParagraphFont"/>
    <w:uiPriority w:val="99"/>
    <w:semiHidden/>
    <w:unhideWhenUsed/>
    <w:rsid w:val="00BB5F1C"/>
    <w:rPr>
      <w:sz w:val="16"/>
      <w:szCs w:val="16"/>
    </w:rPr>
  </w:style>
  <w:style w:type="paragraph" w:styleId="CommentText">
    <w:name w:val="annotation text"/>
    <w:basedOn w:val="Normal"/>
    <w:link w:val="CommentTextChar"/>
    <w:uiPriority w:val="99"/>
    <w:semiHidden/>
    <w:unhideWhenUsed/>
    <w:rsid w:val="00BB5F1C"/>
    <w:rPr>
      <w:sz w:val="20"/>
      <w:szCs w:val="20"/>
    </w:rPr>
  </w:style>
  <w:style w:type="character" w:customStyle="1" w:styleId="CommentTextChar">
    <w:name w:val="Comment Text Char"/>
    <w:basedOn w:val="DefaultParagraphFont"/>
    <w:link w:val="CommentText"/>
    <w:uiPriority w:val="99"/>
    <w:semiHidden/>
    <w:rsid w:val="00BB5F1C"/>
    <w:rPr>
      <w:sz w:val="20"/>
      <w:szCs w:val="20"/>
    </w:rPr>
  </w:style>
  <w:style w:type="paragraph" w:styleId="CommentSubject">
    <w:name w:val="annotation subject"/>
    <w:basedOn w:val="CommentText"/>
    <w:next w:val="CommentText"/>
    <w:link w:val="CommentSubjectChar"/>
    <w:uiPriority w:val="99"/>
    <w:semiHidden/>
    <w:unhideWhenUsed/>
    <w:rsid w:val="00BB5F1C"/>
    <w:rPr>
      <w:b/>
      <w:bCs/>
    </w:rPr>
  </w:style>
  <w:style w:type="character" w:customStyle="1" w:styleId="CommentSubjectChar">
    <w:name w:val="Comment Subject Char"/>
    <w:basedOn w:val="CommentTextChar"/>
    <w:link w:val="CommentSubject"/>
    <w:uiPriority w:val="99"/>
    <w:semiHidden/>
    <w:rsid w:val="00BB5F1C"/>
    <w:rPr>
      <w:b/>
      <w:bCs/>
      <w:sz w:val="20"/>
      <w:szCs w:val="20"/>
    </w:rPr>
  </w:style>
  <w:style w:type="character" w:customStyle="1" w:styleId="Heading2Char">
    <w:name w:val="Heading 2 Char"/>
    <w:basedOn w:val="DefaultParagraphFont"/>
    <w:link w:val="Heading2"/>
    <w:uiPriority w:val="9"/>
    <w:rsid w:val="00F15EC0"/>
    <w:rPr>
      <w:rFonts w:eastAsia="Times New Roman" w:cs="Times New Roman"/>
      <w:b/>
      <w:color w:val="104F75"/>
      <w:sz w:val="32"/>
      <w:szCs w:val="32"/>
      <w:lang w:eastAsia="en-GB"/>
    </w:rPr>
  </w:style>
  <w:style w:type="paragraph" w:customStyle="1" w:styleId="TableRow">
    <w:name w:val="TableRow"/>
    <w:rsid w:val="00F15EC0"/>
    <w:pPr>
      <w:suppressAutoHyphens/>
      <w:autoSpaceDN w:val="0"/>
      <w:spacing w:before="60" w:after="60"/>
      <w:ind w:left="57" w:right="57"/>
      <w:textAlignment w:val="baseline"/>
    </w:pPr>
    <w:rPr>
      <w:rFonts w:eastAsia="Times New Roman" w:cs="Times New Roman"/>
      <w:color w:val="0D0D0D"/>
      <w:szCs w:val="24"/>
      <w:lang w:eastAsia="en-GB"/>
    </w:rPr>
  </w:style>
  <w:style w:type="character" w:styleId="PlaceholderText">
    <w:name w:val="Placeholder Text"/>
    <w:basedOn w:val="DefaultParagraphFont"/>
    <w:rsid w:val="00F15E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075">
      <w:bodyDiv w:val="1"/>
      <w:marLeft w:val="0"/>
      <w:marRight w:val="0"/>
      <w:marTop w:val="0"/>
      <w:marBottom w:val="0"/>
      <w:divBdr>
        <w:top w:val="none" w:sz="0" w:space="0" w:color="auto"/>
        <w:left w:val="none" w:sz="0" w:space="0" w:color="auto"/>
        <w:bottom w:val="none" w:sz="0" w:space="0" w:color="auto"/>
        <w:right w:val="none" w:sz="0" w:space="0" w:color="auto"/>
      </w:divBdr>
    </w:div>
    <w:div w:id="351034313">
      <w:bodyDiv w:val="1"/>
      <w:marLeft w:val="0"/>
      <w:marRight w:val="0"/>
      <w:marTop w:val="0"/>
      <w:marBottom w:val="0"/>
      <w:divBdr>
        <w:top w:val="none" w:sz="0" w:space="0" w:color="auto"/>
        <w:left w:val="none" w:sz="0" w:space="0" w:color="auto"/>
        <w:bottom w:val="none" w:sz="0" w:space="0" w:color="auto"/>
        <w:right w:val="none" w:sz="0" w:space="0" w:color="auto"/>
      </w:divBdr>
    </w:div>
    <w:div w:id="446585428">
      <w:bodyDiv w:val="1"/>
      <w:marLeft w:val="0"/>
      <w:marRight w:val="0"/>
      <w:marTop w:val="0"/>
      <w:marBottom w:val="0"/>
      <w:divBdr>
        <w:top w:val="none" w:sz="0" w:space="0" w:color="auto"/>
        <w:left w:val="none" w:sz="0" w:space="0" w:color="auto"/>
        <w:bottom w:val="none" w:sz="0" w:space="0" w:color="auto"/>
        <w:right w:val="none" w:sz="0" w:space="0" w:color="auto"/>
      </w:divBdr>
    </w:div>
    <w:div w:id="703487291">
      <w:bodyDiv w:val="1"/>
      <w:marLeft w:val="0"/>
      <w:marRight w:val="0"/>
      <w:marTop w:val="0"/>
      <w:marBottom w:val="0"/>
      <w:divBdr>
        <w:top w:val="none" w:sz="0" w:space="0" w:color="auto"/>
        <w:left w:val="none" w:sz="0" w:space="0" w:color="auto"/>
        <w:bottom w:val="none" w:sz="0" w:space="0" w:color="auto"/>
        <w:right w:val="none" w:sz="0" w:space="0" w:color="auto"/>
      </w:divBdr>
    </w:div>
    <w:div w:id="1237059687">
      <w:bodyDiv w:val="1"/>
      <w:marLeft w:val="0"/>
      <w:marRight w:val="0"/>
      <w:marTop w:val="0"/>
      <w:marBottom w:val="0"/>
      <w:divBdr>
        <w:top w:val="none" w:sz="0" w:space="0" w:color="auto"/>
        <w:left w:val="none" w:sz="0" w:space="0" w:color="auto"/>
        <w:bottom w:val="none" w:sz="0" w:space="0" w:color="auto"/>
        <w:right w:val="none" w:sz="0" w:space="0" w:color="auto"/>
      </w:divBdr>
    </w:div>
    <w:div w:id="20513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covid-19-resources/guide-to-supporting-schools-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covid-19-resources/covid-19-support-guide-for-schools/" TargetMode="External"/><Relationship Id="rId5"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Leatt</dc:creator>
  <cp:lastModifiedBy>Nick Waters</cp:lastModifiedBy>
  <cp:revision>2</cp:revision>
  <cp:lastPrinted>2017-10-03T11:09:00Z</cp:lastPrinted>
  <dcterms:created xsi:type="dcterms:W3CDTF">2020-11-30T14:09:00Z</dcterms:created>
  <dcterms:modified xsi:type="dcterms:W3CDTF">2020-11-30T14:09:00Z</dcterms:modified>
</cp:coreProperties>
</file>