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32" w:rsidRDefault="00EE0432" w:rsidP="00EE0432">
      <w:pPr>
        <w:pStyle w:val="Default"/>
        <w:rPr>
          <w:b/>
          <w:bCs/>
          <w:sz w:val="23"/>
          <w:szCs w:val="23"/>
        </w:rPr>
      </w:pPr>
    </w:p>
    <w:p w:rsidR="009116DC" w:rsidRPr="00BA253D" w:rsidRDefault="009116DC" w:rsidP="009116DC">
      <w:pPr>
        <w:shd w:val="clear" w:color="auto" w:fill="FFFFFF"/>
        <w:spacing w:beforeAutospacing="1" w:afterAutospacing="1"/>
        <w:jc w:val="center"/>
        <w:outlineLvl w:val="0"/>
        <w:rPr>
          <w:rFonts w:ascii="inherit" w:eastAsia="Times New Roman" w:hAnsi="inherit" w:cs="Times New Roman"/>
          <w:b/>
          <w:bCs/>
          <w:color w:val="B90202"/>
          <w:kern w:val="36"/>
          <w:sz w:val="48"/>
          <w:lang w:eastAsia="en-GB"/>
        </w:rPr>
      </w:pPr>
      <w:r w:rsidRPr="00BA253D">
        <w:rPr>
          <w:rFonts w:ascii="inherit" w:eastAsia="Times New Roman" w:hAnsi="inherit" w:cs="Times New Roman"/>
          <w:b/>
          <w:bCs/>
          <w:kern w:val="36"/>
          <w:sz w:val="48"/>
          <w:lang w:eastAsia="en-GB"/>
        </w:rPr>
        <w:t>Enterprise Learning Alliance</w:t>
      </w:r>
    </w:p>
    <w:p w:rsidR="009116DC" w:rsidRDefault="009116DC" w:rsidP="009116DC">
      <w:pPr>
        <w:pStyle w:val="Default"/>
        <w:jc w:val="center"/>
        <w:rPr>
          <w:b/>
          <w:bCs/>
          <w:sz w:val="23"/>
          <w:szCs w:val="23"/>
        </w:rPr>
      </w:pPr>
    </w:p>
    <w:p w:rsidR="0088565F" w:rsidRDefault="0088565F" w:rsidP="00EE0432">
      <w:pPr>
        <w:pStyle w:val="Default"/>
        <w:rPr>
          <w:b/>
          <w:bCs/>
          <w:sz w:val="23"/>
          <w:szCs w:val="23"/>
        </w:rPr>
      </w:pPr>
    </w:p>
    <w:p w:rsidR="0088565F" w:rsidRDefault="001C02B0" w:rsidP="009116DC">
      <w:pPr>
        <w:pStyle w:val="Default"/>
        <w:jc w:val="center"/>
        <w:rPr>
          <w:b/>
          <w:bCs/>
          <w:sz w:val="23"/>
          <w:szCs w:val="23"/>
        </w:rPr>
      </w:pPr>
      <w:r>
        <w:rPr>
          <w:b/>
          <w:bCs/>
          <w:noProof/>
          <w:sz w:val="23"/>
          <w:szCs w:val="23"/>
          <w:lang w:eastAsia="en-GB"/>
        </w:rPr>
        <w:drawing>
          <wp:inline distT="0" distB="0" distL="0" distR="0">
            <wp:extent cx="4582536" cy="2486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1765" cy="2501882"/>
                    </a:xfrm>
                    <a:prstGeom prst="rect">
                      <a:avLst/>
                    </a:prstGeom>
                  </pic:spPr>
                </pic:pic>
              </a:graphicData>
            </a:graphic>
          </wp:inline>
        </w:drawing>
      </w:r>
      <w:bookmarkStart w:id="0" w:name="_GoBack"/>
      <w:bookmarkEnd w:id="0"/>
    </w:p>
    <w:p w:rsidR="0088565F" w:rsidRDefault="0088565F" w:rsidP="00EE0432">
      <w:pPr>
        <w:pStyle w:val="Default"/>
        <w:rPr>
          <w:b/>
          <w:bCs/>
          <w:sz w:val="23"/>
          <w:szCs w:val="23"/>
        </w:rPr>
      </w:pPr>
    </w:p>
    <w:p w:rsidR="0088565F" w:rsidRDefault="0088565F" w:rsidP="00EE0432">
      <w:pPr>
        <w:pStyle w:val="Default"/>
        <w:rPr>
          <w:b/>
          <w:bCs/>
          <w:sz w:val="23"/>
          <w:szCs w:val="23"/>
        </w:rPr>
      </w:pPr>
    </w:p>
    <w:p w:rsidR="0088565F" w:rsidRDefault="0088565F" w:rsidP="00EE0432">
      <w:pPr>
        <w:pStyle w:val="Default"/>
        <w:rPr>
          <w:b/>
          <w:bCs/>
          <w:sz w:val="23"/>
          <w:szCs w:val="23"/>
        </w:rPr>
      </w:pPr>
    </w:p>
    <w:p w:rsidR="009116DC" w:rsidRDefault="009116DC" w:rsidP="009116DC">
      <w:pPr>
        <w:pStyle w:val="Default"/>
      </w:pPr>
    </w:p>
    <w:p w:rsidR="009116DC" w:rsidRDefault="009116DC" w:rsidP="009116DC">
      <w:pPr>
        <w:pStyle w:val="Default"/>
      </w:pPr>
      <w:r>
        <w:t xml:space="preserve"> 1 </w:t>
      </w:r>
    </w:p>
    <w:p w:rsidR="009116DC" w:rsidRDefault="009116DC" w:rsidP="009116DC">
      <w:pPr>
        <w:pStyle w:val="Default"/>
        <w:rPr>
          <w:color w:val="auto"/>
        </w:rPr>
      </w:pPr>
    </w:p>
    <w:p w:rsidR="009116DC" w:rsidRDefault="009116DC" w:rsidP="009116DC">
      <w:pPr>
        <w:pStyle w:val="Default"/>
        <w:jc w:val="center"/>
        <w:rPr>
          <w:b/>
          <w:color w:val="auto"/>
          <w:sz w:val="72"/>
          <w:szCs w:val="72"/>
        </w:rPr>
      </w:pPr>
      <w:r w:rsidRPr="009116DC">
        <w:rPr>
          <w:b/>
          <w:color w:val="auto"/>
          <w:sz w:val="72"/>
          <w:szCs w:val="72"/>
        </w:rPr>
        <w:t>Charging Policy</w:t>
      </w:r>
    </w:p>
    <w:p w:rsidR="009116DC" w:rsidRPr="009116DC" w:rsidRDefault="009116DC" w:rsidP="009116DC">
      <w:pPr>
        <w:pStyle w:val="Default"/>
        <w:jc w:val="center"/>
        <w:rPr>
          <w:b/>
          <w:color w:val="auto"/>
          <w:sz w:val="72"/>
          <w:szCs w:val="72"/>
        </w:rPr>
      </w:pPr>
    </w:p>
    <w:p w:rsidR="009116DC" w:rsidRDefault="009116DC" w:rsidP="009116DC">
      <w:pPr>
        <w:pStyle w:val="Default"/>
        <w:rPr>
          <w:color w:val="auto"/>
          <w:sz w:val="40"/>
          <w:szCs w:val="40"/>
        </w:rPr>
      </w:pPr>
      <w:r>
        <w:rPr>
          <w:color w:val="auto"/>
          <w:sz w:val="40"/>
          <w:szCs w:val="40"/>
        </w:rPr>
        <w:t xml:space="preserve">Written </w:t>
      </w:r>
      <w:proofErr w:type="gramStart"/>
      <w:r>
        <w:rPr>
          <w:color w:val="auto"/>
          <w:sz w:val="40"/>
          <w:szCs w:val="40"/>
        </w:rPr>
        <w:t>by :</w:t>
      </w:r>
      <w:proofErr w:type="gramEnd"/>
      <w:r>
        <w:rPr>
          <w:color w:val="auto"/>
          <w:sz w:val="40"/>
          <w:szCs w:val="40"/>
        </w:rPr>
        <w:tab/>
      </w:r>
      <w:r>
        <w:rPr>
          <w:color w:val="auto"/>
          <w:sz w:val="40"/>
          <w:szCs w:val="40"/>
        </w:rPr>
        <w:tab/>
      </w:r>
      <w:proofErr w:type="spellStart"/>
      <w:r>
        <w:rPr>
          <w:color w:val="auto"/>
          <w:sz w:val="40"/>
          <w:szCs w:val="40"/>
        </w:rPr>
        <w:t>Micheala</w:t>
      </w:r>
      <w:proofErr w:type="spellEnd"/>
      <w:r>
        <w:rPr>
          <w:color w:val="auto"/>
          <w:sz w:val="40"/>
          <w:szCs w:val="40"/>
        </w:rPr>
        <w:t xml:space="preserve"> Clay</w:t>
      </w:r>
    </w:p>
    <w:p w:rsidR="009116DC" w:rsidRDefault="009116DC" w:rsidP="009116DC">
      <w:pPr>
        <w:pStyle w:val="Default"/>
        <w:rPr>
          <w:color w:val="auto"/>
          <w:sz w:val="40"/>
          <w:szCs w:val="40"/>
        </w:rPr>
      </w:pPr>
      <w:proofErr w:type="gramStart"/>
      <w:r>
        <w:rPr>
          <w:color w:val="auto"/>
          <w:sz w:val="40"/>
          <w:szCs w:val="40"/>
        </w:rPr>
        <w:t>Date :</w:t>
      </w:r>
      <w:proofErr w:type="gramEnd"/>
      <w:r>
        <w:rPr>
          <w:color w:val="auto"/>
          <w:sz w:val="40"/>
          <w:szCs w:val="40"/>
        </w:rPr>
        <w:t xml:space="preserve"> </w:t>
      </w:r>
      <w:r>
        <w:rPr>
          <w:color w:val="auto"/>
          <w:sz w:val="40"/>
          <w:szCs w:val="40"/>
        </w:rPr>
        <w:tab/>
      </w:r>
      <w:r>
        <w:rPr>
          <w:color w:val="auto"/>
          <w:sz w:val="40"/>
          <w:szCs w:val="40"/>
        </w:rPr>
        <w:tab/>
      </w:r>
      <w:r>
        <w:rPr>
          <w:color w:val="auto"/>
          <w:sz w:val="40"/>
          <w:szCs w:val="40"/>
        </w:rPr>
        <w:tab/>
        <w:t xml:space="preserve">11/01/2018 </w:t>
      </w:r>
    </w:p>
    <w:p w:rsidR="0088565F" w:rsidRDefault="009116DC" w:rsidP="009116DC">
      <w:pPr>
        <w:pStyle w:val="Default"/>
        <w:rPr>
          <w:b/>
          <w:bCs/>
          <w:sz w:val="23"/>
          <w:szCs w:val="23"/>
        </w:rPr>
      </w:pPr>
      <w:r>
        <w:rPr>
          <w:color w:val="auto"/>
          <w:sz w:val="40"/>
          <w:szCs w:val="40"/>
        </w:rPr>
        <w:t xml:space="preserve">Review Date: </w:t>
      </w:r>
      <w:r>
        <w:rPr>
          <w:color w:val="auto"/>
          <w:sz w:val="40"/>
          <w:szCs w:val="40"/>
        </w:rPr>
        <w:tab/>
        <w:t>11/01/2019</w:t>
      </w:r>
    </w:p>
    <w:p w:rsidR="0088565F" w:rsidRDefault="0088565F" w:rsidP="00EE0432">
      <w:pPr>
        <w:pStyle w:val="Default"/>
        <w:rPr>
          <w:b/>
          <w:bCs/>
          <w:sz w:val="23"/>
          <w:szCs w:val="23"/>
        </w:rPr>
      </w:pPr>
    </w:p>
    <w:p w:rsidR="0088565F" w:rsidRDefault="0088565F" w:rsidP="00EE0432">
      <w:pPr>
        <w:pStyle w:val="Default"/>
        <w:rPr>
          <w:b/>
          <w:bCs/>
          <w:sz w:val="23"/>
          <w:szCs w:val="23"/>
        </w:rPr>
      </w:pPr>
    </w:p>
    <w:p w:rsidR="0088565F" w:rsidRDefault="0088565F" w:rsidP="00EE0432">
      <w:pPr>
        <w:pStyle w:val="Default"/>
        <w:rPr>
          <w:b/>
          <w:bCs/>
          <w:sz w:val="23"/>
          <w:szCs w:val="23"/>
        </w:rPr>
      </w:pPr>
    </w:p>
    <w:p w:rsidR="0088565F" w:rsidRDefault="0088565F" w:rsidP="00EE0432">
      <w:pPr>
        <w:pStyle w:val="Default"/>
        <w:rPr>
          <w:b/>
          <w:bCs/>
          <w:sz w:val="23"/>
          <w:szCs w:val="23"/>
        </w:rPr>
      </w:pPr>
    </w:p>
    <w:p w:rsidR="0088565F" w:rsidRDefault="0088565F" w:rsidP="00EE0432">
      <w:pPr>
        <w:pStyle w:val="Default"/>
        <w:rPr>
          <w:b/>
          <w:bCs/>
          <w:sz w:val="23"/>
          <w:szCs w:val="23"/>
        </w:rPr>
      </w:pPr>
    </w:p>
    <w:p w:rsidR="0088565F" w:rsidRDefault="0088565F" w:rsidP="00EE0432">
      <w:pPr>
        <w:pStyle w:val="Default"/>
        <w:rPr>
          <w:b/>
          <w:bCs/>
          <w:sz w:val="23"/>
          <w:szCs w:val="23"/>
        </w:rPr>
      </w:pPr>
    </w:p>
    <w:p w:rsidR="0088565F" w:rsidRDefault="0088565F" w:rsidP="00EE0432">
      <w:pPr>
        <w:pStyle w:val="Default"/>
        <w:rPr>
          <w:b/>
          <w:bCs/>
          <w:sz w:val="23"/>
          <w:szCs w:val="23"/>
        </w:rPr>
      </w:pPr>
    </w:p>
    <w:p w:rsidR="0088565F" w:rsidRDefault="0088565F" w:rsidP="00EE0432">
      <w:pPr>
        <w:pStyle w:val="Default"/>
        <w:rPr>
          <w:b/>
          <w:bCs/>
          <w:sz w:val="23"/>
          <w:szCs w:val="23"/>
        </w:rPr>
      </w:pPr>
    </w:p>
    <w:p w:rsidR="0088565F" w:rsidRDefault="0088565F" w:rsidP="00EE0432">
      <w:pPr>
        <w:pStyle w:val="Default"/>
        <w:rPr>
          <w:b/>
          <w:bCs/>
          <w:sz w:val="23"/>
          <w:szCs w:val="23"/>
        </w:rPr>
      </w:pPr>
    </w:p>
    <w:p w:rsidR="0088565F" w:rsidRDefault="0088565F" w:rsidP="00EE0432">
      <w:pPr>
        <w:pStyle w:val="Default"/>
        <w:rPr>
          <w:b/>
          <w:bCs/>
          <w:sz w:val="23"/>
          <w:szCs w:val="23"/>
        </w:rPr>
      </w:pPr>
    </w:p>
    <w:p w:rsidR="0088565F" w:rsidRDefault="0088565F" w:rsidP="00EE0432">
      <w:pPr>
        <w:pStyle w:val="Default"/>
        <w:rPr>
          <w:b/>
          <w:bCs/>
          <w:sz w:val="23"/>
          <w:szCs w:val="23"/>
        </w:rPr>
      </w:pPr>
    </w:p>
    <w:p w:rsidR="0088565F" w:rsidRDefault="0088565F" w:rsidP="00EE0432">
      <w:pPr>
        <w:pStyle w:val="Default"/>
        <w:rPr>
          <w:b/>
          <w:bCs/>
          <w:sz w:val="23"/>
          <w:szCs w:val="23"/>
        </w:rPr>
      </w:pPr>
    </w:p>
    <w:p w:rsidR="0088565F" w:rsidRDefault="0088565F" w:rsidP="00EE0432">
      <w:pPr>
        <w:pStyle w:val="Default"/>
        <w:rPr>
          <w:b/>
          <w:bCs/>
          <w:sz w:val="23"/>
          <w:szCs w:val="23"/>
        </w:rPr>
      </w:pPr>
    </w:p>
    <w:p w:rsidR="0088565F" w:rsidRDefault="0088565F" w:rsidP="00EE0432">
      <w:pPr>
        <w:pStyle w:val="Default"/>
        <w:rPr>
          <w:b/>
          <w:bCs/>
          <w:sz w:val="23"/>
          <w:szCs w:val="23"/>
        </w:rPr>
      </w:pPr>
    </w:p>
    <w:p w:rsidR="0088565F" w:rsidRDefault="0088565F" w:rsidP="00EE0432">
      <w:pPr>
        <w:pStyle w:val="Default"/>
        <w:rPr>
          <w:b/>
          <w:bCs/>
          <w:sz w:val="23"/>
          <w:szCs w:val="23"/>
        </w:rPr>
      </w:pPr>
    </w:p>
    <w:p w:rsidR="0088565F" w:rsidRDefault="0088565F" w:rsidP="00EE0432">
      <w:pPr>
        <w:pStyle w:val="Default"/>
        <w:rPr>
          <w:b/>
          <w:bCs/>
          <w:sz w:val="23"/>
          <w:szCs w:val="23"/>
        </w:rPr>
      </w:pPr>
    </w:p>
    <w:p w:rsidR="0088565F" w:rsidRDefault="0088565F" w:rsidP="00EE0432">
      <w:pPr>
        <w:pStyle w:val="Default"/>
        <w:rPr>
          <w:b/>
          <w:bCs/>
          <w:sz w:val="23"/>
          <w:szCs w:val="23"/>
        </w:rPr>
      </w:pPr>
    </w:p>
    <w:p w:rsidR="0088565F" w:rsidRDefault="0088565F" w:rsidP="00EE0432">
      <w:pPr>
        <w:pStyle w:val="Default"/>
        <w:rPr>
          <w:b/>
          <w:bCs/>
          <w:sz w:val="23"/>
          <w:szCs w:val="23"/>
        </w:rPr>
      </w:pPr>
    </w:p>
    <w:p w:rsidR="00EE0432" w:rsidRPr="009116DC" w:rsidRDefault="00EE0432" w:rsidP="00EE0432">
      <w:pPr>
        <w:pStyle w:val="Default"/>
        <w:rPr>
          <w:sz w:val="28"/>
          <w:szCs w:val="28"/>
        </w:rPr>
      </w:pPr>
      <w:r w:rsidRPr="009116DC">
        <w:rPr>
          <w:b/>
          <w:bCs/>
          <w:sz w:val="28"/>
          <w:szCs w:val="28"/>
        </w:rPr>
        <w:lastRenderedPageBreak/>
        <w:t xml:space="preserve">Charging Policy </w:t>
      </w:r>
    </w:p>
    <w:p w:rsidR="00EE0432" w:rsidRDefault="00EE0432" w:rsidP="00EE0432">
      <w:pPr>
        <w:pStyle w:val="Default"/>
        <w:rPr>
          <w:b/>
          <w:bCs/>
          <w:sz w:val="23"/>
          <w:szCs w:val="23"/>
        </w:rPr>
      </w:pPr>
    </w:p>
    <w:p w:rsidR="00EE0432" w:rsidRDefault="00EE0432" w:rsidP="00EE0432">
      <w:pPr>
        <w:pStyle w:val="Default"/>
        <w:rPr>
          <w:b/>
          <w:bCs/>
          <w:sz w:val="23"/>
          <w:szCs w:val="23"/>
        </w:rPr>
      </w:pPr>
      <w:r>
        <w:rPr>
          <w:b/>
          <w:bCs/>
          <w:sz w:val="23"/>
          <w:szCs w:val="23"/>
        </w:rPr>
        <w:t xml:space="preserve">Introduction </w:t>
      </w:r>
    </w:p>
    <w:p w:rsidR="00EE0432" w:rsidRDefault="00EE0432" w:rsidP="00EE0432">
      <w:pPr>
        <w:pStyle w:val="Default"/>
        <w:rPr>
          <w:sz w:val="23"/>
          <w:szCs w:val="23"/>
        </w:rPr>
      </w:pPr>
    </w:p>
    <w:p w:rsidR="00EE0432" w:rsidRDefault="00EE0432" w:rsidP="00EE0432">
      <w:pPr>
        <w:pStyle w:val="Default"/>
        <w:rPr>
          <w:sz w:val="23"/>
          <w:szCs w:val="23"/>
        </w:rPr>
      </w:pPr>
      <w:r>
        <w:rPr>
          <w:sz w:val="23"/>
          <w:szCs w:val="23"/>
        </w:rPr>
        <w:t xml:space="preserve">Sections 449-462 of the Education Act 1996 set out the law on charging for school activities in schools maintained by local authorities in England. </w:t>
      </w:r>
    </w:p>
    <w:p w:rsidR="00EE0432" w:rsidRDefault="00EE0432" w:rsidP="00EE0432">
      <w:pPr>
        <w:pStyle w:val="Default"/>
        <w:rPr>
          <w:sz w:val="23"/>
          <w:szCs w:val="23"/>
        </w:rPr>
      </w:pPr>
    </w:p>
    <w:p w:rsidR="00EE0432" w:rsidRDefault="00EE0432" w:rsidP="00EE0432">
      <w:pPr>
        <w:pStyle w:val="Default"/>
        <w:rPr>
          <w:b/>
          <w:bCs/>
          <w:sz w:val="23"/>
          <w:szCs w:val="23"/>
        </w:rPr>
      </w:pPr>
      <w:r>
        <w:rPr>
          <w:b/>
          <w:bCs/>
          <w:sz w:val="23"/>
          <w:szCs w:val="23"/>
        </w:rPr>
        <w:t xml:space="preserve">Charging Policy </w:t>
      </w:r>
    </w:p>
    <w:p w:rsidR="00EE0432" w:rsidRDefault="00EE0432" w:rsidP="00EE0432">
      <w:pPr>
        <w:pStyle w:val="Default"/>
        <w:rPr>
          <w:sz w:val="23"/>
          <w:szCs w:val="23"/>
        </w:rPr>
      </w:pPr>
    </w:p>
    <w:p w:rsidR="00EE0432" w:rsidRDefault="00EE0432" w:rsidP="00EE0432">
      <w:pPr>
        <w:pStyle w:val="Default"/>
        <w:rPr>
          <w:b/>
          <w:bCs/>
          <w:sz w:val="23"/>
          <w:szCs w:val="23"/>
        </w:rPr>
      </w:pPr>
      <w:r>
        <w:rPr>
          <w:b/>
          <w:bCs/>
          <w:sz w:val="23"/>
          <w:szCs w:val="23"/>
        </w:rPr>
        <w:t xml:space="preserve">Education </w:t>
      </w:r>
    </w:p>
    <w:p w:rsidR="009116DC" w:rsidRDefault="009116DC" w:rsidP="00EE0432">
      <w:pPr>
        <w:pStyle w:val="Default"/>
        <w:rPr>
          <w:sz w:val="23"/>
          <w:szCs w:val="23"/>
        </w:rPr>
      </w:pPr>
    </w:p>
    <w:p w:rsidR="00EE0432" w:rsidRDefault="00EE0432" w:rsidP="00EE0432">
      <w:pPr>
        <w:pStyle w:val="Default"/>
        <w:rPr>
          <w:sz w:val="23"/>
          <w:szCs w:val="23"/>
        </w:rPr>
      </w:pPr>
      <w:r>
        <w:rPr>
          <w:sz w:val="23"/>
          <w:szCs w:val="23"/>
        </w:rPr>
        <w:t xml:space="preserve">The Enterprise Learning Alliance (ELA) </w:t>
      </w:r>
      <w:r>
        <w:rPr>
          <w:b/>
          <w:bCs/>
          <w:sz w:val="23"/>
          <w:szCs w:val="23"/>
        </w:rPr>
        <w:t xml:space="preserve">does not charge </w:t>
      </w:r>
      <w:r>
        <w:rPr>
          <w:sz w:val="23"/>
          <w:szCs w:val="23"/>
        </w:rPr>
        <w:t xml:space="preserve">for: </w:t>
      </w:r>
    </w:p>
    <w:p w:rsidR="00EE0432" w:rsidRDefault="00EE0432" w:rsidP="00EE0432">
      <w:pPr>
        <w:pStyle w:val="Default"/>
        <w:numPr>
          <w:ilvl w:val="0"/>
          <w:numId w:val="7"/>
        </w:numPr>
        <w:spacing w:after="77"/>
        <w:rPr>
          <w:sz w:val="23"/>
          <w:szCs w:val="23"/>
        </w:rPr>
      </w:pPr>
      <w:r>
        <w:rPr>
          <w:sz w:val="23"/>
          <w:szCs w:val="23"/>
        </w:rPr>
        <w:t xml:space="preserve">Admission applications </w:t>
      </w:r>
    </w:p>
    <w:p w:rsidR="00EE0432" w:rsidRDefault="00EE0432" w:rsidP="00EE0432">
      <w:pPr>
        <w:pStyle w:val="Default"/>
        <w:numPr>
          <w:ilvl w:val="0"/>
          <w:numId w:val="7"/>
        </w:numPr>
        <w:spacing w:after="77"/>
        <w:rPr>
          <w:sz w:val="23"/>
          <w:szCs w:val="23"/>
        </w:rPr>
      </w:pPr>
      <w:r w:rsidRPr="00EE0432">
        <w:rPr>
          <w:sz w:val="23"/>
          <w:szCs w:val="23"/>
        </w:rPr>
        <w:t xml:space="preserve">Education provided during school hours (including the supply of any materials, books, instruments or other equipment) </w:t>
      </w:r>
    </w:p>
    <w:p w:rsidR="00EE0432" w:rsidRDefault="00EE0432" w:rsidP="00EE0432">
      <w:pPr>
        <w:pStyle w:val="Default"/>
        <w:numPr>
          <w:ilvl w:val="0"/>
          <w:numId w:val="7"/>
        </w:numPr>
        <w:spacing w:after="77"/>
        <w:rPr>
          <w:sz w:val="23"/>
          <w:szCs w:val="23"/>
        </w:rPr>
      </w:pPr>
      <w:r w:rsidRPr="00EE0432">
        <w:rPr>
          <w:sz w:val="23"/>
          <w:szCs w:val="23"/>
        </w:rPr>
        <w:t xml:space="preserve">Education provided outside school hours if it is part of the national curriculum. </w:t>
      </w:r>
    </w:p>
    <w:p w:rsidR="00EE0432" w:rsidRDefault="00EE0432" w:rsidP="00EE0432">
      <w:pPr>
        <w:pStyle w:val="Default"/>
        <w:spacing w:after="77"/>
        <w:ind w:left="720"/>
        <w:rPr>
          <w:sz w:val="23"/>
          <w:szCs w:val="23"/>
        </w:rPr>
      </w:pPr>
      <w:proofErr w:type="gramStart"/>
      <w:r w:rsidRPr="00EE0432">
        <w:rPr>
          <w:sz w:val="23"/>
          <w:szCs w:val="23"/>
        </w:rPr>
        <w:t>or</w:t>
      </w:r>
      <w:proofErr w:type="gramEnd"/>
      <w:r w:rsidRPr="00EE0432">
        <w:rPr>
          <w:sz w:val="23"/>
          <w:szCs w:val="23"/>
        </w:rPr>
        <w:t xml:space="preserve"> part of a syllabus for a prescribed public examination that the student is being prepared for in school, or part of religious education </w:t>
      </w:r>
    </w:p>
    <w:p w:rsidR="00EE0432" w:rsidRDefault="00EE0432" w:rsidP="00EE0432">
      <w:pPr>
        <w:pStyle w:val="Default"/>
        <w:numPr>
          <w:ilvl w:val="0"/>
          <w:numId w:val="7"/>
        </w:numPr>
        <w:spacing w:after="77"/>
        <w:rPr>
          <w:sz w:val="23"/>
          <w:szCs w:val="23"/>
        </w:rPr>
      </w:pPr>
      <w:r w:rsidRPr="00EE0432">
        <w:rPr>
          <w:sz w:val="23"/>
          <w:szCs w:val="23"/>
        </w:rPr>
        <w:t xml:space="preserve"> Entry for a prescribed public examination if the student has been prepared for it in school </w:t>
      </w:r>
    </w:p>
    <w:p w:rsidR="00EE0432" w:rsidRPr="00EE0432" w:rsidRDefault="00EE0432" w:rsidP="00EE0432">
      <w:pPr>
        <w:pStyle w:val="Default"/>
        <w:numPr>
          <w:ilvl w:val="0"/>
          <w:numId w:val="7"/>
        </w:numPr>
        <w:spacing w:after="77"/>
        <w:rPr>
          <w:sz w:val="23"/>
          <w:szCs w:val="23"/>
        </w:rPr>
      </w:pPr>
      <w:r w:rsidRPr="00EE0432">
        <w:rPr>
          <w:sz w:val="23"/>
          <w:szCs w:val="23"/>
        </w:rPr>
        <w:t xml:space="preserve">Examination re-sits if the student is being prepared for this in school. </w:t>
      </w:r>
    </w:p>
    <w:p w:rsidR="00EE0432" w:rsidRDefault="00EE0432" w:rsidP="00EE0432">
      <w:pPr>
        <w:pStyle w:val="Default"/>
        <w:rPr>
          <w:sz w:val="23"/>
          <w:szCs w:val="23"/>
        </w:rPr>
      </w:pPr>
    </w:p>
    <w:p w:rsidR="00EE0432" w:rsidRDefault="00EE0432" w:rsidP="00EE0432">
      <w:pPr>
        <w:pStyle w:val="Default"/>
        <w:rPr>
          <w:sz w:val="23"/>
          <w:szCs w:val="23"/>
        </w:rPr>
      </w:pPr>
      <w:proofErr w:type="spellStart"/>
      <w:r>
        <w:rPr>
          <w:sz w:val="23"/>
          <w:szCs w:val="23"/>
        </w:rPr>
        <w:t>Th</w:t>
      </w:r>
      <w:proofErr w:type="spellEnd"/>
      <w:r>
        <w:rPr>
          <w:sz w:val="23"/>
          <w:szCs w:val="23"/>
        </w:rPr>
        <w:t xml:space="preserve"> ELA </w:t>
      </w:r>
      <w:r>
        <w:rPr>
          <w:b/>
          <w:bCs/>
          <w:sz w:val="23"/>
          <w:szCs w:val="23"/>
        </w:rPr>
        <w:t xml:space="preserve">does charge </w:t>
      </w:r>
      <w:r>
        <w:rPr>
          <w:sz w:val="23"/>
          <w:szCs w:val="23"/>
        </w:rPr>
        <w:t xml:space="preserve">for: </w:t>
      </w:r>
    </w:p>
    <w:p w:rsidR="00EE0432" w:rsidRDefault="00EE0432" w:rsidP="00EE0432">
      <w:pPr>
        <w:pStyle w:val="Default"/>
        <w:numPr>
          <w:ilvl w:val="0"/>
          <w:numId w:val="7"/>
        </w:numPr>
        <w:rPr>
          <w:sz w:val="23"/>
          <w:szCs w:val="23"/>
        </w:rPr>
      </w:pPr>
      <w:r w:rsidRPr="00EE0432">
        <w:rPr>
          <w:sz w:val="23"/>
          <w:szCs w:val="23"/>
        </w:rPr>
        <w:t xml:space="preserve">Any materials, books, instrument or equipment where the student’s parent/carer wishes her/him to own them </w:t>
      </w:r>
    </w:p>
    <w:p w:rsidR="00EE0432" w:rsidRDefault="00EE0432" w:rsidP="00EE0432">
      <w:pPr>
        <w:pStyle w:val="Default"/>
        <w:numPr>
          <w:ilvl w:val="0"/>
          <w:numId w:val="7"/>
        </w:numPr>
        <w:rPr>
          <w:sz w:val="23"/>
          <w:szCs w:val="23"/>
        </w:rPr>
      </w:pPr>
      <w:r>
        <w:rPr>
          <w:sz w:val="23"/>
          <w:szCs w:val="23"/>
        </w:rPr>
        <w:t>Intentional damage of property, recourses or equipment by a pupil</w:t>
      </w:r>
    </w:p>
    <w:p w:rsidR="00EE0432" w:rsidRPr="00EE0432" w:rsidRDefault="00EE0432" w:rsidP="00EE0432">
      <w:pPr>
        <w:pStyle w:val="Default"/>
        <w:numPr>
          <w:ilvl w:val="0"/>
          <w:numId w:val="7"/>
        </w:numPr>
        <w:rPr>
          <w:sz w:val="23"/>
          <w:szCs w:val="23"/>
        </w:rPr>
      </w:pPr>
      <w:r w:rsidRPr="00EE0432">
        <w:rPr>
          <w:sz w:val="23"/>
          <w:szCs w:val="23"/>
        </w:rPr>
        <w:t xml:space="preserve">Optional extras (see below) </w:t>
      </w:r>
    </w:p>
    <w:p w:rsidR="00EE0432" w:rsidRDefault="00EE0432" w:rsidP="00EE0432">
      <w:pPr>
        <w:pStyle w:val="Default"/>
        <w:rPr>
          <w:sz w:val="23"/>
          <w:szCs w:val="23"/>
        </w:rPr>
      </w:pPr>
    </w:p>
    <w:p w:rsidR="00EE0432" w:rsidRDefault="00EE0432" w:rsidP="00EE0432">
      <w:pPr>
        <w:pStyle w:val="Default"/>
        <w:rPr>
          <w:b/>
          <w:bCs/>
          <w:sz w:val="23"/>
          <w:szCs w:val="23"/>
        </w:rPr>
      </w:pPr>
      <w:r>
        <w:rPr>
          <w:b/>
          <w:bCs/>
          <w:sz w:val="23"/>
          <w:szCs w:val="23"/>
        </w:rPr>
        <w:t xml:space="preserve">Optional Extras </w:t>
      </w:r>
    </w:p>
    <w:p w:rsidR="009116DC" w:rsidRDefault="009116DC" w:rsidP="00EE0432">
      <w:pPr>
        <w:pStyle w:val="Default"/>
        <w:rPr>
          <w:sz w:val="23"/>
          <w:szCs w:val="23"/>
        </w:rPr>
      </w:pPr>
    </w:p>
    <w:p w:rsidR="00EE0432" w:rsidRDefault="00EE0432" w:rsidP="00EE0432">
      <w:pPr>
        <w:pStyle w:val="Default"/>
        <w:rPr>
          <w:sz w:val="23"/>
          <w:szCs w:val="23"/>
        </w:rPr>
      </w:pPr>
      <w:r>
        <w:rPr>
          <w:sz w:val="23"/>
          <w:szCs w:val="23"/>
        </w:rPr>
        <w:t xml:space="preserve">The ELA provides a small range of activities which are charged for as optional extras. Optional extras are: </w:t>
      </w:r>
    </w:p>
    <w:p w:rsidR="00EE0432" w:rsidRDefault="00EE0432" w:rsidP="00EE0432">
      <w:pPr>
        <w:pStyle w:val="Default"/>
        <w:numPr>
          <w:ilvl w:val="0"/>
          <w:numId w:val="7"/>
        </w:numPr>
        <w:spacing w:after="52"/>
        <w:rPr>
          <w:sz w:val="23"/>
          <w:szCs w:val="23"/>
        </w:rPr>
      </w:pPr>
      <w:r>
        <w:rPr>
          <w:sz w:val="23"/>
          <w:szCs w:val="23"/>
        </w:rPr>
        <w:t xml:space="preserve">Education provided outside of school time that is </w:t>
      </w:r>
      <w:r>
        <w:rPr>
          <w:b/>
          <w:bCs/>
          <w:sz w:val="23"/>
          <w:szCs w:val="23"/>
        </w:rPr>
        <w:t>not</w:t>
      </w:r>
      <w:r>
        <w:rPr>
          <w:sz w:val="23"/>
          <w:szCs w:val="23"/>
        </w:rPr>
        <w:t xml:space="preserve">: </w:t>
      </w:r>
    </w:p>
    <w:p w:rsidR="00EE0432" w:rsidRDefault="00EE0432" w:rsidP="00EE0432">
      <w:pPr>
        <w:pStyle w:val="Default"/>
        <w:numPr>
          <w:ilvl w:val="0"/>
          <w:numId w:val="7"/>
        </w:numPr>
        <w:spacing w:after="52"/>
        <w:rPr>
          <w:sz w:val="23"/>
          <w:szCs w:val="23"/>
        </w:rPr>
      </w:pPr>
      <w:r w:rsidRPr="00EE0432">
        <w:rPr>
          <w:sz w:val="23"/>
          <w:szCs w:val="23"/>
        </w:rPr>
        <w:t xml:space="preserve">part of the national curriculum </w:t>
      </w:r>
    </w:p>
    <w:p w:rsidR="00EE0432" w:rsidRDefault="00EE0432" w:rsidP="00EE0432">
      <w:pPr>
        <w:pStyle w:val="Default"/>
        <w:numPr>
          <w:ilvl w:val="0"/>
          <w:numId w:val="7"/>
        </w:numPr>
        <w:spacing w:after="52"/>
        <w:rPr>
          <w:sz w:val="23"/>
          <w:szCs w:val="23"/>
        </w:rPr>
      </w:pPr>
      <w:r w:rsidRPr="00EE0432">
        <w:rPr>
          <w:sz w:val="23"/>
          <w:szCs w:val="23"/>
        </w:rPr>
        <w:t xml:space="preserve">part of a syllabus for a prescribed public examination for which the student is being prepared in school </w:t>
      </w:r>
    </w:p>
    <w:p w:rsidR="00EE0432" w:rsidRDefault="00EE0432" w:rsidP="00EE0432">
      <w:pPr>
        <w:pStyle w:val="Default"/>
        <w:numPr>
          <w:ilvl w:val="0"/>
          <w:numId w:val="7"/>
        </w:numPr>
        <w:spacing w:after="52"/>
        <w:rPr>
          <w:sz w:val="23"/>
          <w:szCs w:val="23"/>
        </w:rPr>
      </w:pPr>
      <w:r w:rsidRPr="00EE0432">
        <w:rPr>
          <w:sz w:val="23"/>
          <w:szCs w:val="23"/>
        </w:rPr>
        <w:t xml:space="preserve">examination entry fees if the student has not been prepared for the examination in school </w:t>
      </w:r>
    </w:p>
    <w:p w:rsidR="00EE0432" w:rsidRDefault="00EE0432" w:rsidP="00EE0432">
      <w:pPr>
        <w:pStyle w:val="Default"/>
        <w:numPr>
          <w:ilvl w:val="0"/>
          <w:numId w:val="7"/>
        </w:numPr>
        <w:spacing w:after="52"/>
        <w:rPr>
          <w:sz w:val="23"/>
          <w:szCs w:val="23"/>
        </w:rPr>
      </w:pPr>
      <w:r w:rsidRPr="00EE0432">
        <w:rPr>
          <w:sz w:val="23"/>
          <w:szCs w:val="23"/>
        </w:rPr>
        <w:t xml:space="preserve">transport, other than transport required to take the student to school or other premises where the governing body has arranged for the student to be provided with education </w:t>
      </w:r>
    </w:p>
    <w:p w:rsidR="00EE0432" w:rsidRPr="00EE0432" w:rsidRDefault="00EE0432" w:rsidP="00EE0432">
      <w:pPr>
        <w:pStyle w:val="Default"/>
        <w:numPr>
          <w:ilvl w:val="0"/>
          <w:numId w:val="7"/>
        </w:numPr>
        <w:spacing w:after="52"/>
        <w:rPr>
          <w:sz w:val="23"/>
          <w:szCs w:val="23"/>
        </w:rPr>
      </w:pPr>
      <w:r w:rsidRPr="00EE0432">
        <w:rPr>
          <w:sz w:val="23"/>
          <w:szCs w:val="23"/>
        </w:rPr>
        <w:t xml:space="preserve">board and lodging on a residential visit </w:t>
      </w:r>
    </w:p>
    <w:p w:rsidR="00EE0432" w:rsidRDefault="00EE0432" w:rsidP="00EE0432">
      <w:pPr>
        <w:pStyle w:val="Default"/>
        <w:rPr>
          <w:sz w:val="23"/>
          <w:szCs w:val="23"/>
        </w:rPr>
      </w:pPr>
    </w:p>
    <w:p w:rsidR="00EE0432" w:rsidRDefault="00EE0432" w:rsidP="00EE0432">
      <w:pPr>
        <w:pStyle w:val="Default"/>
        <w:rPr>
          <w:sz w:val="23"/>
          <w:szCs w:val="23"/>
        </w:rPr>
      </w:pPr>
      <w:r>
        <w:rPr>
          <w:sz w:val="23"/>
          <w:szCs w:val="23"/>
        </w:rPr>
        <w:t xml:space="preserve">When calculating the cost of optional extras, an amount may be included in relation to: </w:t>
      </w:r>
    </w:p>
    <w:p w:rsidR="00EE0432" w:rsidRDefault="00EE0432" w:rsidP="00EE0432">
      <w:pPr>
        <w:pStyle w:val="Default"/>
        <w:numPr>
          <w:ilvl w:val="0"/>
          <w:numId w:val="7"/>
        </w:numPr>
        <w:rPr>
          <w:sz w:val="23"/>
          <w:szCs w:val="23"/>
        </w:rPr>
      </w:pPr>
      <w:r>
        <w:rPr>
          <w:sz w:val="23"/>
          <w:szCs w:val="23"/>
        </w:rPr>
        <w:t xml:space="preserve">materials, books, instruments, or equipment provided in connection with the optional extra </w:t>
      </w:r>
    </w:p>
    <w:p w:rsidR="00EE0432" w:rsidRDefault="00EE0432" w:rsidP="00EE0432">
      <w:pPr>
        <w:pStyle w:val="Default"/>
        <w:rPr>
          <w:sz w:val="23"/>
          <w:szCs w:val="23"/>
        </w:rPr>
      </w:pPr>
      <w:r>
        <w:rPr>
          <w:sz w:val="23"/>
          <w:szCs w:val="23"/>
        </w:rPr>
        <w:t xml:space="preserve"> </w:t>
      </w:r>
    </w:p>
    <w:p w:rsidR="00EE0432" w:rsidRDefault="00EE0432" w:rsidP="00EE0432">
      <w:pPr>
        <w:pStyle w:val="Default"/>
        <w:rPr>
          <w:color w:val="auto"/>
        </w:rPr>
      </w:pPr>
    </w:p>
    <w:p w:rsidR="00EE0432" w:rsidRDefault="00EE0432" w:rsidP="00EE0432">
      <w:pPr>
        <w:pStyle w:val="Default"/>
        <w:pageBreakBefore/>
        <w:rPr>
          <w:color w:val="auto"/>
        </w:rPr>
      </w:pPr>
    </w:p>
    <w:p w:rsidR="00EE0432" w:rsidRDefault="00EE0432" w:rsidP="00EE0432">
      <w:pPr>
        <w:pStyle w:val="Default"/>
        <w:numPr>
          <w:ilvl w:val="0"/>
          <w:numId w:val="7"/>
        </w:numPr>
        <w:spacing w:after="77"/>
        <w:rPr>
          <w:color w:val="auto"/>
          <w:sz w:val="23"/>
          <w:szCs w:val="23"/>
        </w:rPr>
      </w:pPr>
      <w:r>
        <w:rPr>
          <w:color w:val="auto"/>
          <w:sz w:val="23"/>
          <w:szCs w:val="23"/>
        </w:rPr>
        <w:t xml:space="preserve">non-teaching staff </w:t>
      </w:r>
    </w:p>
    <w:p w:rsidR="00EE0432" w:rsidRDefault="00EE0432" w:rsidP="00EE0432">
      <w:pPr>
        <w:pStyle w:val="Default"/>
        <w:numPr>
          <w:ilvl w:val="0"/>
          <w:numId w:val="7"/>
        </w:numPr>
        <w:rPr>
          <w:color w:val="auto"/>
          <w:sz w:val="23"/>
          <w:szCs w:val="23"/>
        </w:rPr>
      </w:pPr>
      <w:r>
        <w:rPr>
          <w:color w:val="auto"/>
          <w:sz w:val="23"/>
          <w:szCs w:val="23"/>
        </w:rPr>
        <w:t xml:space="preserve">teaching staff engaged under contract of service to provide an optional extra, including supply teachers engaged specifically to provide the optional extra </w:t>
      </w:r>
    </w:p>
    <w:p w:rsidR="00EE0432" w:rsidRDefault="00EE0432" w:rsidP="00EE0432">
      <w:pPr>
        <w:pStyle w:val="Default"/>
        <w:rPr>
          <w:color w:val="auto"/>
          <w:sz w:val="23"/>
          <w:szCs w:val="23"/>
        </w:rPr>
      </w:pPr>
    </w:p>
    <w:p w:rsidR="00EE0432" w:rsidRDefault="00EE0432" w:rsidP="00EE0432">
      <w:pPr>
        <w:pStyle w:val="Default"/>
        <w:rPr>
          <w:color w:val="auto"/>
          <w:sz w:val="23"/>
          <w:szCs w:val="23"/>
        </w:rPr>
      </w:pPr>
      <w:r>
        <w:rPr>
          <w:color w:val="auto"/>
          <w:sz w:val="23"/>
          <w:szCs w:val="23"/>
        </w:rPr>
        <w:t xml:space="preserve">The ELA does not charge more than the actual cost of providing an optional extra activity. Student participation is on the basis of parental choice and agreement to meet the charges. Parental agreement is therefore a necessary pre-requisite for the provision of an optional extra where charges will be made. </w:t>
      </w:r>
    </w:p>
    <w:p w:rsidR="00EA06AC" w:rsidRDefault="00EA06AC" w:rsidP="00EE0432">
      <w:pPr>
        <w:pStyle w:val="Default"/>
        <w:rPr>
          <w:color w:val="auto"/>
          <w:sz w:val="23"/>
          <w:szCs w:val="23"/>
        </w:rPr>
      </w:pPr>
    </w:p>
    <w:p w:rsidR="00EE0432" w:rsidRDefault="00EE0432" w:rsidP="00EE0432">
      <w:pPr>
        <w:pStyle w:val="Default"/>
        <w:rPr>
          <w:b/>
          <w:bCs/>
          <w:color w:val="auto"/>
          <w:sz w:val="23"/>
          <w:szCs w:val="23"/>
        </w:rPr>
      </w:pPr>
      <w:r>
        <w:rPr>
          <w:b/>
          <w:bCs/>
          <w:color w:val="auto"/>
          <w:sz w:val="23"/>
          <w:szCs w:val="23"/>
        </w:rPr>
        <w:t xml:space="preserve">Residential Visits </w:t>
      </w:r>
    </w:p>
    <w:p w:rsidR="009116DC" w:rsidRDefault="009116DC" w:rsidP="00EE0432">
      <w:pPr>
        <w:pStyle w:val="Default"/>
        <w:rPr>
          <w:color w:val="auto"/>
          <w:sz w:val="23"/>
          <w:szCs w:val="23"/>
        </w:rPr>
      </w:pPr>
    </w:p>
    <w:p w:rsidR="00EE0432" w:rsidRDefault="00EA06AC" w:rsidP="00EE0432">
      <w:pPr>
        <w:pStyle w:val="Default"/>
        <w:rPr>
          <w:color w:val="auto"/>
          <w:sz w:val="23"/>
          <w:szCs w:val="23"/>
        </w:rPr>
      </w:pPr>
      <w:r>
        <w:rPr>
          <w:color w:val="auto"/>
          <w:sz w:val="23"/>
          <w:szCs w:val="23"/>
        </w:rPr>
        <w:t>The ELA</w:t>
      </w:r>
      <w:r w:rsidR="00EE0432">
        <w:rPr>
          <w:color w:val="auto"/>
          <w:sz w:val="23"/>
          <w:szCs w:val="23"/>
        </w:rPr>
        <w:t xml:space="preserve"> does not charge for: </w:t>
      </w:r>
    </w:p>
    <w:p w:rsidR="00EE0432" w:rsidRDefault="00EE0432" w:rsidP="00EA06AC">
      <w:pPr>
        <w:pStyle w:val="Default"/>
        <w:numPr>
          <w:ilvl w:val="0"/>
          <w:numId w:val="7"/>
        </w:numPr>
        <w:spacing w:after="77"/>
        <w:rPr>
          <w:color w:val="auto"/>
          <w:sz w:val="23"/>
          <w:szCs w:val="23"/>
        </w:rPr>
      </w:pPr>
      <w:r>
        <w:rPr>
          <w:color w:val="auto"/>
          <w:sz w:val="23"/>
          <w:szCs w:val="23"/>
        </w:rPr>
        <w:t xml:space="preserve">education provided on any visit that takes place during school hours </w:t>
      </w:r>
    </w:p>
    <w:p w:rsidR="00EE0432" w:rsidRDefault="00EE0432" w:rsidP="00EA06AC">
      <w:pPr>
        <w:pStyle w:val="Default"/>
        <w:numPr>
          <w:ilvl w:val="0"/>
          <w:numId w:val="7"/>
        </w:numPr>
        <w:spacing w:after="77"/>
        <w:rPr>
          <w:color w:val="auto"/>
          <w:sz w:val="23"/>
          <w:szCs w:val="23"/>
        </w:rPr>
      </w:pPr>
      <w:r>
        <w:rPr>
          <w:color w:val="auto"/>
          <w:sz w:val="23"/>
          <w:szCs w:val="23"/>
        </w:rPr>
        <w:t xml:space="preserve">education provided on any visit that takes place outside school hours if it is part of the national curriculum, or part of a syllabus for a prescribed public examination that the student is being prepared for in school, or part of religious education </w:t>
      </w:r>
    </w:p>
    <w:p w:rsidR="00EE0432" w:rsidRDefault="00EE0432" w:rsidP="00EA06AC">
      <w:pPr>
        <w:pStyle w:val="Default"/>
        <w:numPr>
          <w:ilvl w:val="0"/>
          <w:numId w:val="7"/>
        </w:numPr>
        <w:rPr>
          <w:color w:val="auto"/>
          <w:sz w:val="23"/>
          <w:szCs w:val="23"/>
        </w:rPr>
      </w:pPr>
      <w:proofErr w:type="gramStart"/>
      <w:r>
        <w:rPr>
          <w:color w:val="auto"/>
          <w:sz w:val="23"/>
          <w:szCs w:val="23"/>
        </w:rPr>
        <w:t>supply</w:t>
      </w:r>
      <w:proofErr w:type="gramEnd"/>
      <w:r>
        <w:rPr>
          <w:color w:val="auto"/>
          <w:sz w:val="23"/>
          <w:szCs w:val="23"/>
        </w:rPr>
        <w:t xml:space="preserve"> teachers to cover for teachers who are absent from school accompanying students on a residential visit. </w:t>
      </w:r>
    </w:p>
    <w:p w:rsidR="00EE0432" w:rsidRDefault="00EE0432" w:rsidP="00EE0432">
      <w:pPr>
        <w:pStyle w:val="Default"/>
        <w:rPr>
          <w:color w:val="auto"/>
          <w:sz w:val="23"/>
          <w:szCs w:val="23"/>
        </w:rPr>
      </w:pPr>
    </w:p>
    <w:p w:rsidR="00EE0432" w:rsidRDefault="00EA06AC" w:rsidP="00EE0432">
      <w:pPr>
        <w:pStyle w:val="Default"/>
        <w:rPr>
          <w:color w:val="auto"/>
          <w:sz w:val="23"/>
          <w:szCs w:val="23"/>
        </w:rPr>
      </w:pPr>
      <w:r>
        <w:rPr>
          <w:color w:val="auto"/>
          <w:sz w:val="23"/>
          <w:szCs w:val="23"/>
        </w:rPr>
        <w:t>The ELA</w:t>
      </w:r>
      <w:r w:rsidR="00EE0432">
        <w:rPr>
          <w:color w:val="auto"/>
          <w:sz w:val="23"/>
          <w:szCs w:val="23"/>
        </w:rPr>
        <w:t xml:space="preserve"> does charge for board and lodging, not exceeding the actual cost. </w:t>
      </w:r>
    </w:p>
    <w:p w:rsidR="00EA06AC" w:rsidRDefault="00EA06AC" w:rsidP="00EE0432">
      <w:pPr>
        <w:pStyle w:val="Default"/>
        <w:rPr>
          <w:color w:val="auto"/>
          <w:sz w:val="23"/>
          <w:szCs w:val="23"/>
        </w:rPr>
      </w:pPr>
    </w:p>
    <w:p w:rsidR="00EE0432" w:rsidRDefault="00EE0432" w:rsidP="00EE0432">
      <w:pPr>
        <w:pStyle w:val="Default"/>
        <w:rPr>
          <w:b/>
          <w:bCs/>
          <w:color w:val="auto"/>
          <w:sz w:val="23"/>
          <w:szCs w:val="23"/>
        </w:rPr>
      </w:pPr>
      <w:r>
        <w:rPr>
          <w:b/>
          <w:bCs/>
          <w:color w:val="auto"/>
          <w:sz w:val="23"/>
          <w:szCs w:val="23"/>
        </w:rPr>
        <w:t xml:space="preserve">Voluntary Contributions </w:t>
      </w:r>
    </w:p>
    <w:p w:rsidR="00EA06AC" w:rsidRDefault="00EA06AC" w:rsidP="00EE0432">
      <w:pPr>
        <w:pStyle w:val="Default"/>
        <w:rPr>
          <w:color w:val="auto"/>
          <w:sz w:val="23"/>
          <w:szCs w:val="23"/>
        </w:rPr>
      </w:pPr>
    </w:p>
    <w:p w:rsidR="00EE0432" w:rsidRDefault="00EA06AC" w:rsidP="00EE0432">
      <w:pPr>
        <w:pStyle w:val="Default"/>
        <w:rPr>
          <w:color w:val="auto"/>
          <w:sz w:val="23"/>
          <w:szCs w:val="23"/>
        </w:rPr>
      </w:pPr>
      <w:r>
        <w:rPr>
          <w:color w:val="auto"/>
          <w:sz w:val="23"/>
          <w:szCs w:val="23"/>
        </w:rPr>
        <w:t>The ELA</w:t>
      </w:r>
      <w:r w:rsidR="00EE0432">
        <w:rPr>
          <w:color w:val="auto"/>
          <w:sz w:val="23"/>
          <w:szCs w:val="23"/>
        </w:rPr>
        <w:t xml:space="preserve"> may request voluntary contributions from parents of students: </w:t>
      </w:r>
    </w:p>
    <w:p w:rsidR="00EE0432" w:rsidRDefault="00EE0432" w:rsidP="00EA06AC">
      <w:pPr>
        <w:pStyle w:val="Default"/>
        <w:numPr>
          <w:ilvl w:val="0"/>
          <w:numId w:val="7"/>
        </w:numPr>
        <w:spacing w:after="76"/>
        <w:rPr>
          <w:color w:val="auto"/>
          <w:sz w:val="23"/>
          <w:szCs w:val="23"/>
        </w:rPr>
      </w:pPr>
      <w:proofErr w:type="gramStart"/>
      <w:r>
        <w:rPr>
          <w:color w:val="auto"/>
          <w:sz w:val="23"/>
          <w:szCs w:val="23"/>
        </w:rPr>
        <w:t>for</w:t>
      </w:r>
      <w:proofErr w:type="gramEnd"/>
      <w:r>
        <w:rPr>
          <w:color w:val="auto"/>
          <w:sz w:val="23"/>
          <w:szCs w:val="23"/>
        </w:rPr>
        <w:t xml:space="preserve"> the benefit of the whole school. Donors are able to make gift aid declarations which increases the value of the gift to the school; </w:t>
      </w:r>
    </w:p>
    <w:p w:rsidR="00EE0432" w:rsidRDefault="00EE0432" w:rsidP="00EA06AC">
      <w:pPr>
        <w:pStyle w:val="Default"/>
        <w:numPr>
          <w:ilvl w:val="0"/>
          <w:numId w:val="7"/>
        </w:numPr>
        <w:rPr>
          <w:color w:val="auto"/>
          <w:sz w:val="23"/>
          <w:szCs w:val="23"/>
        </w:rPr>
      </w:pPr>
      <w:proofErr w:type="gramStart"/>
      <w:r>
        <w:rPr>
          <w:color w:val="auto"/>
          <w:sz w:val="23"/>
          <w:szCs w:val="23"/>
        </w:rPr>
        <w:t>towards</w:t>
      </w:r>
      <w:proofErr w:type="gramEnd"/>
      <w:r>
        <w:rPr>
          <w:color w:val="auto"/>
          <w:sz w:val="23"/>
          <w:szCs w:val="23"/>
        </w:rPr>
        <w:t xml:space="preserve"> school or residential activities which cannot be funded without voluntary contributions. It will be made clear to parents at the outset if the activity cannot be funded without voluntary contribution and that there is no obligation to make any contribution. </w:t>
      </w:r>
    </w:p>
    <w:p w:rsidR="00EE0432" w:rsidRDefault="00EE0432" w:rsidP="00EE0432">
      <w:pPr>
        <w:pStyle w:val="Default"/>
        <w:rPr>
          <w:color w:val="auto"/>
          <w:sz w:val="23"/>
          <w:szCs w:val="23"/>
        </w:rPr>
      </w:pPr>
    </w:p>
    <w:p w:rsidR="00EE0432" w:rsidRDefault="00EE0432" w:rsidP="00EE0432">
      <w:pPr>
        <w:pStyle w:val="Default"/>
        <w:rPr>
          <w:color w:val="auto"/>
          <w:sz w:val="23"/>
          <w:szCs w:val="23"/>
        </w:rPr>
      </w:pPr>
      <w:r>
        <w:rPr>
          <w:color w:val="auto"/>
          <w:sz w:val="23"/>
          <w:szCs w:val="23"/>
        </w:rPr>
        <w:t xml:space="preserve">No student will be excluded from an activity because parents are unwilling or unable to pay. If voluntary contributions are insufficient to fund a visit or the school cannot fund it from some other source, the visit will be cancelled. </w:t>
      </w:r>
    </w:p>
    <w:p w:rsidR="00EA06AC" w:rsidRDefault="00EA06AC" w:rsidP="00EE0432">
      <w:pPr>
        <w:pStyle w:val="Default"/>
        <w:rPr>
          <w:color w:val="auto"/>
          <w:sz w:val="23"/>
          <w:szCs w:val="23"/>
        </w:rPr>
      </w:pPr>
    </w:p>
    <w:p w:rsidR="00EE0432" w:rsidRDefault="00EE0432" w:rsidP="00EE0432">
      <w:pPr>
        <w:pStyle w:val="Default"/>
        <w:rPr>
          <w:color w:val="auto"/>
          <w:sz w:val="23"/>
          <w:szCs w:val="23"/>
        </w:rPr>
      </w:pPr>
      <w:r>
        <w:rPr>
          <w:color w:val="auto"/>
          <w:sz w:val="23"/>
          <w:szCs w:val="23"/>
        </w:rPr>
        <w:t xml:space="preserve">The following charges may be levied to parents / carers where costs have been unnecessarily incurred: </w:t>
      </w:r>
    </w:p>
    <w:p w:rsidR="00EE0432" w:rsidRDefault="00EE0432" w:rsidP="00EA06AC">
      <w:pPr>
        <w:pStyle w:val="Default"/>
        <w:numPr>
          <w:ilvl w:val="0"/>
          <w:numId w:val="7"/>
        </w:numPr>
        <w:rPr>
          <w:color w:val="auto"/>
          <w:sz w:val="23"/>
          <w:szCs w:val="23"/>
        </w:rPr>
      </w:pPr>
      <w:proofErr w:type="gramStart"/>
      <w:r>
        <w:rPr>
          <w:color w:val="auto"/>
          <w:sz w:val="23"/>
          <w:szCs w:val="23"/>
        </w:rPr>
        <w:t>full</w:t>
      </w:r>
      <w:proofErr w:type="gramEnd"/>
      <w:r>
        <w:rPr>
          <w:color w:val="auto"/>
          <w:sz w:val="23"/>
          <w:szCs w:val="23"/>
        </w:rPr>
        <w:t xml:space="preserve"> replacement or repair costs for wilful damage to equipment and / or property. This may be in instalments and should be agreed with the parents / carers at the point of charge. </w:t>
      </w:r>
    </w:p>
    <w:p w:rsidR="00EE0432" w:rsidRDefault="00EE0432" w:rsidP="00EE0432">
      <w:pPr>
        <w:pStyle w:val="Default"/>
        <w:rPr>
          <w:color w:val="auto"/>
          <w:sz w:val="23"/>
          <w:szCs w:val="23"/>
        </w:rPr>
      </w:pPr>
    </w:p>
    <w:p w:rsidR="00EE0432" w:rsidRDefault="00EE0432" w:rsidP="00EA06AC">
      <w:pPr>
        <w:pStyle w:val="Default"/>
        <w:numPr>
          <w:ilvl w:val="0"/>
          <w:numId w:val="7"/>
        </w:numPr>
        <w:rPr>
          <w:color w:val="auto"/>
          <w:sz w:val="23"/>
          <w:szCs w:val="23"/>
        </w:rPr>
      </w:pPr>
      <w:r>
        <w:rPr>
          <w:color w:val="auto"/>
          <w:sz w:val="23"/>
          <w:szCs w:val="23"/>
        </w:rPr>
        <w:t>Full fee costs for public examinations missed through refusal, truancy or any other unauthorised absence (</w:t>
      </w:r>
      <w:proofErr w:type="spellStart"/>
      <w:r>
        <w:rPr>
          <w:color w:val="auto"/>
          <w:sz w:val="23"/>
          <w:szCs w:val="23"/>
        </w:rPr>
        <w:t>ie</w:t>
      </w:r>
      <w:proofErr w:type="spellEnd"/>
      <w:r>
        <w:rPr>
          <w:color w:val="auto"/>
          <w:sz w:val="23"/>
          <w:szCs w:val="23"/>
        </w:rPr>
        <w:t xml:space="preserve">. Family holiday taken in term time). </w:t>
      </w:r>
    </w:p>
    <w:p w:rsidR="00EE0432" w:rsidRDefault="00EE0432" w:rsidP="00EE0432">
      <w:pPr>
        <w:pStyle w:val="Default"/>
        <w:rPr>
          <w:color w:val="auto"/>
          <w:sz w:val="23"/>
          <w:szCs w:val="23"/>
        </w:rPr>
      </w:pPr>
    </w:p>
    <w:p w:rsidR="00EE0432" w:rsidRDefault="00EE0432" w:rsidP="00EE0432">
      <w:pPr>
        <w:pStyle w:val="Default"/>
        <w:rPr>
          <w:color w:val="auto"/>
        </w:rPr>
      </w:pPr>
    </w:p>
    <w:p w:rsidR="009116DC" w:rsidRDefault="00EE0432" w:rsidP="00EE0432">
      <w:pPr>
        <w:pStyle w:val="Default"/>
        <w:pageBreakBefore/>
        <w:rPr>
          <w:color w:val="auto"/>
          <w:sz w:val="23"/>
          <w:szCs w:val="23"/>
        </w:rPr>
      </w:pPr>
      <w:r>
        <w:rPr>
          <w:b/>
          <w:bCs/>
          <w:color w:val="auto"/>
          <w:sz w:val="23"/>
          <w:szCs w:val="23"/>
        </w:rPr>
        <w:lastRenderedPageBreak/>
        <w:t xml:space="preserve">Remissions Policy </w:t>
      </w:r>
    </w:p>
    <w:p w:rsidR="00EE0432" w:rsidRDefault="00EE0432" w:rsidP="00EE0432">
      <w:pPr>
        <w:pStyle w:val="Default"/>
        <w:rPr>
          <w:color w:val="auto"/>
          <w:sz w:val="23"/>
          <w:szCs w:val="23"/>
        </w:rPr>
      </w:pPr>
      <w:r>
        <w:rPr>
          <w:color w:val="auto"/>
          <w:sz w:val="23"/>
          <w:szCs w:val="23"/>
        </w:rPr>
        <w:t xml:space="preserve">In the case of residential visits, parents who can prove they are in receipt of the following benefits will be exempt from paying the cost of board and lodging: </w:t>
      </w:r>
    </w:p>
    <w:p w:rsidR="00EE0432" w:rsidRDefault="00EE0432" w:rsidP="00EA06AC">
      <w:pPr>
        <w:pStyle w:val="Default"/>
        <w:numPr>
          <w:ilvl w:val="0"/>
          <w:numId w:val="7"/>
        </w:numPr>
        <w:spacing w:after="77"/>
        <w:rPr>
          <w:color w:val="auto"/>
          <w:sz w:val="23"/>
          <w:szCs w:val="23"/>
        </w:rPr>
      </w:pPr>
      <w:r>
        <w:rPr>
          <w:color w:val="auto"/>
          <w:sz w:val="23"/>
          <w:szCs w:val="23"/>
        </w:rPr>
        <w:t xml:space="preserve">universal credit in prescribed circumstances </w:t>
      </w:r>
    </w:p>
    <w:p w:rsidR="00EE0432" w:rsidRDefault="00EE0432" w:rsidP="00EA06AC">
      <w:pPr>
        <w:pStyle w:val="Default"/>
        <w:numPr>
          <w:ilvl w:val="0"/>
          <w:numId w:val="7"/>
        </w:numPr>
        <w:spacing w:after="77"/>
        <w:rPr>
          <w:color w:val="auto"/>
          <w:sz w:val="23"/>
          <w:szCs w:val="23"/>
        </w:rPr>
      </w:pPr>
      <w:r>
        <w:rPr>
          <w:color w:val="auto"/>
          <w:sz w:val="23"/>
          <w:szCs w:val="23"/>
        </w:rPr>
        <w:t xml:space="preserve">income support </w:t>
      </w:r>
    </w:p>
    <w:p w:rsidR="00EE0432" w:rsidRDefault="00EE0432" w:rsidP="00EA06AC">
      <w:pPr>
        <w:pStyle w:val="Default"/>
        <w:numPr>
          <w:ilvl w:val="0"/>
          <w:numId w:val="7"/>
        </w:numPr>
        <w:spacing w:after="77"/>
        <w:rPr>
          <w:color w:val="auto"/>
          <w:sz w:val="23"/>
          <w:szCs w:val="23"/>
        </w:rPr>
      </w:pPr>
      <w:r>
        <w:rPr>
          <w:color w:val="auto"/>
          <w:sz w:val="23"/>
          <w:szCs w:val="23"/>
        </w:rPr>
        <w:t xml:space="preserve">income based jobseeker allowance </w:t>
      </w:r>
    </w:p>
    <w:p w:rsidR="00EE0432" w:rsidRDefault="00EE0432" w:rsidP="00EA06AC">
      <w:pPr>
        <w:pStyle w:val="Default"/>
        <w:numPr>
          <w:ilvl w:val="0"/>
          <w:numId w:val="7"/>
        </w:numPr>
        <w:spacing w:after="77"/>
        <w:rPr>
          <w:color w:val="auto"/>
          <w:sz w:val="23"/>
          <w:szCs w:val="23"/>
        </w:rPr>
      </w:pPr>
      <w:r>
        <w:rPr>
          <w:color w:val="auto"/>
          <w:sz w:val="23"/>
          <w:szCs w:val="23"/>
        </w:rPr>
        <w:t xml:space="preserve">support under part VI of the Immigration and Asylum Act 1999 </w:t>
      </w:r>
    </w:p>
    <w:p w:rsidR="00EE0432" w:rsidRDefault="00EE0432" w:rsidP="00EA06AC">
      <w:pPr>
        <w:pStyle w:val="Default"/>
        <w:numPr>
          <w:ilvl w:val="0"/>
          <w:numId w:val="7"/>
        </w:numPr>
        <w:spacing w:after="77"/>
        <w:rPr>
          <w:color w:val="auto"/>
          <w:sz w:val="23"/>
          <w:szCs w:val="23"/>
        </w:rPr>
      </w:pPr>
      <w:r>
        <w:rPr>
          <w:color w:val="auto"/>
          <w:sz w:val="23"/>
          <w:szCs w:val="23"/>
        </w:rPr>
        <w:t xml:space="preserve">child tax credit, provided that Working Tax Credit is not also received and the family’s income (as assessed by HMRC) does not exceed £16,190 (Financial Year 2013/14) </w:t>
      </w:r>
    </w:p>
    <w:p w:rsidR="00EE0432" w:rsidRDefault="00EE0432" w:rsidP="00EA06AC">
      <w:pPr>
        <w:pStyle w:val="Default"/>
        <w:numPr>
          <w:ilvl w:val="0"/>
          <w:numId w:val="7"/>
        </w:numPr>
        <w:spacing w:after="77"/>
        <w:rPr>
          <w:color w:val="auto"/>
          <w:sz w:val="23"/>
          <w:szCs w:val="23"/>
        </w:rPr>
      </w:pPr>
      <w:r>
        <w:rPr>
          <w:color w:val="auto"/>
          <w:sz w:val="23"/>
          <w:szCs w:val="23"/>
        </w:rPr>
        <w:t xml:space="preserve">the guaranteed element of State Pension Credit </w:t>
      </w:r>
    </w:p>
    <w:p w:rsidR="00EE0432" w:rsidRDefault="00EE0432" w:rsidP="00EA06AC">
      <w:pPr>
        <w:pStyle w:val="Default"/>
        <w:numPr>
          <w:ilvl w:val="0"/>
          <w:numId w:val="7"/>
        </w:numPr>
        <w:rPr>
          <w:color w:val="auto"/>
          <w:sz w:val="23"/>
          <w:szCs w:val="23"/>
        </w:rPr>
      </w:pPr>
      <w:proofErr w:type="gramStart"/>
      <w:r>
        <w:rPr>
          <w:color w:val="auto"/>
          <w:sz w:val="23"/>
          <w:szCs w:val="23"/>
        </w:rPr>
        <w:t>an</w:t>
      </w:r>
      <w:proofErr w:type="gramEnd"/>
      <w:r>
        <w:rPr>
          <w:color w:val="auto"/>
          <w:sz w:val="23"/>
          <w:szCs w:val="23"/>
        </w:rPr>
        <w:t xml:space="preserve"> income related employment and support allowance that was introduced on 27 October 2008. </w:t>
      </w:r>
    </w:p>
    <w:p w:rsidR="00EE0432" w:rsidRDefault="00EE0432" w:rsidP="00EE0432">
      <w:pPr>
        <w:pStyle w:val="Default"/>
        <w:rPr>
          <w:color w:val="auto"/>
          <w:sz w:val="23"/>
          <w:szCs w:val="23"/>
        </w:rPr>
      </w:pPr>
    </w:p>
    <w:p w:rsidR="00EE0432" w:rsidRDefault="00EE0432" w:rsidP="00EE0432">
      <w:pPr>
        <w:pStyle w:val="Default"/>
        <w:rPr>
          <w:color w:val="auto"/>
          <w:sz w:val="23"/>
          <w:szCs w:val="23"/>
        </w:rPr>
      </w:pPr>
      <w:r>
        <w:rPr>
          <w:b/>
          <w:bCs/>
          <w:color w:val="auto"/>
          <w:sz w:val="23"/>
          <w:szCs w:val="23"/>
        </w:rPr>
        <w:t xml:space="preserve">Charges to Schools </w:t>
      </w:r>
    </w:p>
    <w:p w:rsidR="00EE0432" w:rsidRDefault="00EE0432" w:rsidP="00EE0432">
      <w:pPr>
        <w:pStyle w:val="Default"/>
        <w:rPr>
          <w:color w:val="auto"/>
          <w:sz w:val="23"/>
          <w:szCs w:val="23"/>
        </w:rPr>
      </w:pPr>
      <w:r>
        <w:rPr>
          <w:color w:val="auto"/>
          <w:sz w:val="23"/>
          <w:szCs w:val="23"/>
        </w:rPr>
        <w:t>In order to support the level of educational offer and promote shared responsibility with schools, charges are levied as contributions towards placements. Where a student is able to travel independently to school, it is expected tha</w:t>
      </w:r>
      <w:r w:rsidR="00EA06AC">
        <w:rPr>
          <w:color w:val="auto"/>
          <w:sz w:val="23"/>
          <w:szCs w:val="23"/>
        </w:rPr>
        <w:t>t schools will provide a Travel</w:t>
      </w:r>
      <w:r>
        <w:rPr>
          <w:color w:val="auto"/>
          <w:sz w:val="23"/>
          <w:szCs w:val="23"/>
        </w:rPr>
        <w:t xml:space="preserve"> Pass. The exception to these charges is in the case of permanently excluded pupils when all charges for placement and transport remain the responsibility of the local authority. </w:t>
      </w:r>
    </w:p>
    <w:p w:rsidR="00EE0432" w:rsidRDefault="00EE0432" w:rsidP="00EE0432">
      <w:pPr>
        <w:pStyle w:val="Default"/>
        <w:rPr>
          <w:color w:val="auto"/>
          <w:sz w:val="23"/>
          <w:szCs w:val="23"/>
        </w:rPr>
      </w:pPr>
      <w:r>
        <w:rPr>
          <w:color w:val="auto"/>
          <w:sz w:val="23"/>
          <w:szCs w:val="23"/>
        </w:rPr>
        <w:t xml:space="preserve">Schools receive funding for students who are main roll with them (AWPU) as well as additional funding for some students through Pupil Premium. Pupils accessing services remain on the main roll of their home school which promotes best practice in joint working, increases engagement of students and encourages a sense of belonging as well as allowing funding to be targeted appropriately to support high quality educational provision for students outside of mainstream school. </w:t>
      </w:r>
    </w:p>
    <w:p w:rsidR="00EA06AC" w:rsidRDefault="00EA06AC" w:rsidP="00EE0432">
      <w:pPr>
        <w:pStyle w:val="Default"/>
        <w:rPr>
          <w:color w:val="auto"/>
          <w:sz w:val="23"/>
          <w:szCs w:val="23"/>
        </w:rPr>
      </w:pPr>
    </w:p>
    <w:p w:rsidR="00EE0432" w:rsidRDefault="00EE0432" w:rsidP="00EE0432">
      <w:pPr>
        <w:pStyle w:val="Default"/>
        <w:rPr>
          <w:color w:val="auto"/>
          <w:sz w:val="23"/>
          <w:szCs w:val="23"/>
        </w:rPr>
      </w:pPr>
      <w:r>
        <w:rPr>
          <w:color w:val="auto"/>
          <w:sz w:val="23"/>
          <w:szCs w:val="23"/>
        </w:rPr>
        <w:t xml:space="preserve">Charging for placements is outlined below: </w:t>
      </w:r>
    </w:p>
    <w:p w:rsidR="00EA06AC" w:rsidRDefault="00EA06AC" w:rsidP="00EE0432">
      <w:pPr>
        <w:pStyle w:val="Default"/>
        <w:rPr>
          <w:color w:val="auto"/>
          <w:sz w:val="23"/>
          <w:szCs w:val="23"/>
        </w:rPr>
      </w:pPr>
    </w:p>
    <w:p w:rsidR="00EE0432" w:rsidRDefault="00EA06AC" w:rsidP="00EA06AC">
      <w:pPr>
        <w:pStyle w:val="Default"/>
        <w:numPr>
          <w:ilvl w:val="0"/>
          <w:numId w:val="7"/>
        </w:numPr>
        <w:spacing w:after="157"/>
        <w:rPr>
          <w:color w:val="auto"/>
          <w:sz w:val="23"/>
          <w:szCs w:val="23"/>
        </w:rPr>
      </w:pPr>
      <w:r>
        <w:rPr>
          <w:color w:val="auto"/>
          <w:sz w:val="23"/>
          <w:szCs w:val="23"/>
        </w:rPr>
        <w:t>New Ways of Working,</w:t>
      </w:r>
      <w:r w:rsidR="00EE0432">
        <w:rPr>
          <w:color w:val="auto"/>
          <w:sz w:val="23"/>
          <w:szCs w:val="23"/>
        </w:rPr>
        <w:t xml:space="preserve"> Primary Intervention Member</w:t>
      </w:r>
      <w:r>
        <w:rPr>
          <w:color w:val="auto"/>
          <w:sz w:val="23"/>
          <w:szCs w:val="23"/>
        </w:rPr>
        <w:t>ship annual fee is charged at £4</w:t>
      </w:r>
      <w:r w:rsidR="00EE0432">
        <w:rPr>
          <w:color w:val="auto"/>
          <w:sz w:val="23"/>
          <w:szCs w:val="23"/>
        </w:rPr>
        <w:t xml:space="preserve"> per KS1/2 student on roll. Then a refer</w:t>
      </w:r>
      <w:r>
        <w:rPr>
          <w:color w:val="auto"/>
          <w:sz w:val="23"/>
          <w:szCs w:val="23"/>
        </w:rPr>
        <w:t>red placement is charged at £105 a week for a 6</w:t>
      </w:r>
      <w:r w:rsidR="00EE0432">
        <w:rPr>
          <w:color w:val="auto"/>
          <w:sz w:val="23"/>
          <w:szCs w:val="23"/>
        </w:rPr>
        <w:t xml:space="preserve"> week place inclusive of 6-8 weeks of outreach support following full rein</w:t>
      </w:r>
      <w:r>
        <w:rPr>
          <w:color w:val="auto"/>
          <w:sz w:val="23"/>
          <w:szCs w:val="23"/>
        </w:rPr>
        <w:t>tegration for member school. (£25</w:t>
      </w:r>
      <w:r w:rsidR="00EE0432">
        <w:rPr>
          <w:color w:val="auto"/>
          <w:sz w:val="23"/>
          <w:szCs w:val="23"/>
        </w:rPr>
        <w:t xml:space="preserve">0 </w:t>
      </w:r>
      <w:r>
        <w:rPr>
          <w:color w:val="auto"/>
          <w:sz w:val="23"/>
          <w:szCs w:val="23"/>
        </w:rPr>
        <w:t xml:space="preserve">per week </w:t>
      </w:r>
      <w:r w:rsidR="00EE0432">
        <w:rPr>
          <w:color w:val="auto"/>
          <w:sz w:val="23"/>
          <w:szCs w:val="23"/>
        </w:rPr>
        <w:t xml:space="preserve">for </w:t>
      </w:r>
      <w:proofErr w:type="spellStart"/>
      <w:r w:rsidR="00EE0432">
        <w:rPr>
          <w:color w:val="auto"/>
          <w:sz w:val="23"/>
          <w:szCs w:val="23"/>
        </w:rPr>
        <w:t>non members</w:t>
      </w:r>
      <w:proofErr w:type="spellEnd"/>
      <w:r w:rsidR="00EE0432">
        <w:rPr>
          <w:color w:val="auto"/>
          <w:sz w:val="23"/>
          <w:szCs w:val="23"/>
        </w:rPr>
        <w:t xml:space="preserve">) The rational </w:t>
      </w:r>
      <w:r>
        <w:rPr>
          <w:color w:val="auto"/>
          <w:sz w:val="23"/>
          <w:szCs w:val="23"/>
        </w:rPr>
        <w:t xml:space="preserve">for being a member of the New Ways of </w:t>
      </w:r>
      <w:proofErr w:type="gramStart"/>
      <w:r>
        <w:rPr>
          <w:color w:val="auto"/>
          <w:sz w:val="23"/>
          <w:szCs w:val="23"/>
        </w:rPr>
        <w:t>Working</w:t>
      </w:r>
      <w:proofErr w:type="gramEnd"/>
      <w:r w:rsidR="00EE0432">
        <w:rPr>
          <w:color w:val="auto"/>
          <w:sz w:val="23"/>
          <w:szCs w:val="23"/>
        </w:rPr>
        <w:t xml:space="preserve"> group of schools is to both model good practice in working collaboratively as well as to support all schools with sustainable costs of this provision thus reducing the need for Permanent exclusions and managed moves. </w:t>
      </w:r>
    </w:p>
    <w:p w:rsidR="00EE0432" w:rsidRDefault="00EE0432" w:rsidP="00EA06AC">
      <w:pPr>
        <w:pStyle w:val="Default"/>
        <w:numPr>
          <w:ilvl w:val="0"/>
          <w:numId w:val="7"/>
        </w:numPr>
        <w:rPr>
          <w:color w:val="auto"/>
          <w:sz w:val="23"/>
          <w:szCs w:val="23"/>
        </w:rPr>
      </w:pPr>
      <w:r>
        <w:rPr>
          <w:color w:val="auto"/>
          <w:sz w:val="23"/>
          <w:szCs w:val="23"/>
        </w:rPr>
        <w:t>Respite placement</w:t>
      </w:r>
      <w:r w:rsidR="00EA06AC">
        <w:rPr>
          <w:color w:val="auto"/>
          <w:sz w:val="23"/>
          <w:szCs w:val="23"/>
        </w:rPr>
        <w:t xml:space="preserve"> (Years 7-9) for a maximum of 6 weeks including up to 2</w:t>
      </w:r>
      <w:r>
        <w:rPr>
          <w:color w:val="auto"/>
          <w:sz w:val="23"/>
          <w:szCs w:val="23"/>
        </w:rPr>
        <w:t xml:space="preserve"> weeks of outreach reintegration support on return to school – No charge. </w:t>
      </w:r>
    </w:p>
    <w:p w:rsidR="00EE0432" w:rsidRDefault="00EE0432" w:rsidP="00EA06AC">
      <w:pPr>
        <w:pStyle w:val="Default"/>
        <w:rPr>
          <w:color w:val="auto"/>
        </w:rPr>
      </w:pPr>
      <w:r>
        <w:rPr>
          <w:color w:val="auto"/>
          <w:sz w:val="23"/>
          <w:szCs w:val="23"/>
        </w:rPr>
        <w:t xml:space="preserve"> </w:t>
      </w:r>
    </w:p>
    <w:p w:rsidR="00EE0432" w:rsidRDefault="00EE0432" w:rsidP="00EA06AC">
      <w:pPr>
        <w:pStyle w:val="Default"/>
        <w:numPr>
          <w:ilvl w:val="0"/>
          <w:numId w:val="7"/>
        </w:numPr>
        <w:rPr>
          <w:color w:val="auto"/>
          <w:sz w:val="23"/>
          <w:szCs w:val="23"/>
        </w:rPr>
      </w:pPr>
      <w:r>
        <w:rPr>
          <w:color w:val="auto"/>
          <w:sz w:val="23"/>
          <w:szCs w:val="23"/>
        </w:rPr>
        <w:t xml:space="preserve">Longer term Key Stage 4 placement – the monthly pro rata of AWPU charged by budgetary year. </w:t>
      </w:r>
    </w:p>
    <w:p w:rsidR="00EE0432" w:rsidRDefault="00EE0432" w:rsidP="00EE0432">
      <w:pPr>
        <w:pStyle w:val="Default"/>
        <w:rPr>
          <w:color w:val="auto"/>
          <w:sz w:val="23"/>
          <w:szCs w:val="23"/>
        </w:rPr>
      </w:pPr>
    </w:p>
    <w:p w:rsidR="00EE0432" w:rsidRDefault="00EE0432" w:rsidP="00EE0432">
      <w:pPr>
        <w:pStyle w:val="Default"/>
        <w:rPr>
          <w:color w:val="auto"/>
          <w:sz w:val="23"/>
          <w:szCs w:val="23"/>
        </w:rPr>
      </w:pPr>
      <w:r>
        <w:rPr>
          <w:color w:val="auto"/>
          <w:sz w:val="23"/>
          <w:szCs w:val="23"/>
        </w:rPr>
        <w:t xml:space="preserve">School representatives will be expected to sign the placement agreement which stipulates charging rates at the admission meeting and this will then be passed to the Finance Officer for invoicing. </w:t>
      </w:r>
    </w:p>
    <w:p w:rsidR="00EE0432" w:rsidRDefault="00EE0432" w:rsidP="00EE0432">
      <w:pPr>
        <w:pStyle w:val="Default"/>
        <w:rPr>
          <w:color w:val="auto"/>
          <w:sz w:val="23"/>
          <w:szCs w:val="23"/>
        </w:rPr>
      </w:pPr>
      <w:r>
        <w:rPr>
          <w:color w:val="auto"/>
          <w:sz w:val="23"/>
          <w:szCs w:val="23"/>
        </w:rPr>
        <w:t xml:space="preserve">Reintegration and outreach services to support students returning to mainstream school or on managed moves can be accessed without charge for up to 6 weeks. </w:t>
      </w:r>
    </w:p>
    <w:p w:rsidR="0088565F" w:rsidRDefault="0088565F" w:rsidP="00EE0432">
      <w:pPr>
        <w:pStyle w:val="Default"/>
        <w:rPr>
          <w:color w:val="auto"/>
          <w:sz w:val="23"/>
          <w:szCs w:val="23"/>
        </w:rPr>
      </w:pPr>
    </w:p>
    <w:p w:rsidR="00EE0432" w:rsidRPr="0088565F" w:rsidRDefault="00EE0432" w:rsidP="007C5043">
      <w:pPr>
        <w:rPr>
          <w:rFonts w:ascii="Arial" w:hAnsi="Arial" w:cs="Arial"/>
        </w:rPr>
      </w:pPr>
      <w:r w:rsidRPr="0088565F">
        <w:rPr>
          <w:rFonts w:ascii="Arial" w:hAnsi="Arial" w:cs="Arial"/>
        </w:rPr>
        <w:t>Pupil Premium will not be claimed for respite pupils as it is expected that this will be a method of funding placements for mainstream schools. For long term placements Pupil Premium will be charged.</w:t>
      </w:r>
    </w:p>
    <w:p w:rsidR="00EA06AC" w:rsidRDefault="00EA06AC" w:rsidP="007C5043">
      <w:pPr>
        <w:rPr>
          <w:rFonts w:ascii="Arial" w:hAnsi="Arial" w:cs="Arial"/>
          <w:sz w:val="24"/>
          <w:szCs w:val="24"/>
        </w:rPr>
      </w:pPr>
    </w:p>
    <w:p w:rsidR="0088565F" w:rsidRDefault="0088565F" w:rsidP="007C5043">
      <w:pPr>
        <w:rPr>
          <w:rFonts w:ascii="Arial" w:hAnsi="Arial" w:cs="Arial"/>
          <w:sz w:val="24"/>
          <w:szCs w:val="24"/>
        </w:rPr>
      </w:pPr>
    </w:p>
    <w:p w:rsidR="0088565F" w:rsidRDefault="0088565F" w:rsidP="007C5043">
      <w:pPr>
        <w:rPr>
          <w:rFonts w:ascii="Arial" w:hAnsi="Arial" w:cs="Arial"/>
          <w:sz w:val="24"/>
          <w:szCs w:val="24"/>
        </w:rPr>
      </w:pPr>
    </w:p>
    <w:p w:rsidR="0088565F" w:rsidRDefault="0088565F" w:rsidP="007C5043">
      <w:pPr>
        <w:rPr>
          <w:rFonts w:ascii="Arial" w:hAnsi="Arial" w:cs="Arial"/>
          <w:sz w:val="24"/>
          <w:szCs w:val="24"/>
        </w:rPr>
      </w:pPr>
    </w:p>
    <w:p w:rsidR="00EA06AC" w:rsidRDefault="00EA06AC" w:rsidP="007C5043">
      <w:pPr>
        <w:rPr>
          <w:b/>
          <w:u w:val="single"/>
        </w:rPr>
      </w:pPr>
    </w:p>
    <w:p w:rsidR="00845EC4" w:rsidRPr="00325708" w:rsidRDefault="00325708" w:rsidP="007C5043">
      <w:r w:rsidRPr="00325708">
        <w:rPr>
          <w:b/>
          <w:u w:val="single"/>
        </w:rPr>
        <w:lastRenderedPageBreak/>
        <w:t xml:space="preserve">Enterprise Learning Alliance </w:t>
      </w:r>
      <w:r w:rsidR="004C3428" w:rsidRPr="00325708">
        <w:rPr>
          <w:b/>
          <w:u w:val="single"/>
        </w:rPr>
        <w:t xml:space="preserve">PRU </w:t>
      </w:r>
      <w:r w:rsidR="007C5043" w:rsidRPr="00325708">
        <w:rPr>
          <w:b/>
          <w:u w:val="single"/>
        </w:rPr>
        <w:t>Charging Protocol</w:t>
      </w:r>
      <w:r w:rsidR="00845EC4" w:rsidRPr="00325708">
        <w:t xml:space="preserve">        </w:t>
      </w:r>
    </w:p>
    <w:p w:rsidR="007C5043" w:rsidRPr="00325708" w:rsidRDefault="007C5043" w:rsidP="007C5043">
      <w:r w:rsidRPr="00325708">
        <w:t xml:space="preserve">As a local authority, the Council has statutory duties and responsibilities in relation to providing education for pupils who are unable to access or who have lost or are at risk of losing a school place as a result of behavioral issues or who are hard to place. </w:t>
      </w:r>
    </w:p>
    <w:p w:rsidR="007C5043" w:rsidRPr="00325708" w:rsidRDefault="007C5043" w:rsidP="007C5043">
      <w:r w:rsidRPr="00325708">
        <w:t xml:space="preserve">In accordance with the terms of the Service Level Agreement </w:t>
      </w:r>
      <w:r w:rsidR="00F5489E" w:rsidRPr="00325708">
        <w:t>(SLA</w:t>
      </w:r>
      <w:r w:rsidR="00CD3A89" w:rsidRPr="00325708">
        <w:t>) the</w:t>
      </w:r>
      <w:r w:rsidRPr="00325708">
        <w:t xml:space="preserve"> Council delegate or devolve funding to the district to meet the needs of these identified groups.  </w:t>
      </w:r>
      <w:r w:rsidR="00465926" w:rsidRPr="00325708">
        <w:t>The Thanet and Dover District</w:t>
      </w:r>
      <w:r w:rsidR="00325708">
        <w:t xml:space="preserve"> Head Teachers have</w:t>
      </w:r>
      <w:r w:rsidRPr="00325708">
        <w:t xml:space="preserve"> develop</w:t>
      </w:r>
      <w:r w:rsidR="00465926" w:rsidRPr="00325708">
        <w:t>ed a service to provide additional places and a</w:t>
      </w:r>
      <w:r w:rsidR="00325708">
        <w:t>n</w:t>
      </w:r>
      <w:r w:rsidR="00465926" w:rsidRPr="00325708">
        <w:t xml:space="preserve"> outreach/intervention service which requires</w:t>
      </w:r>
      <w:r w:rsidR="00325708">
        <w:t xml:space="preserve"> additional</w:t>
      </w:r>
      <w:r w:rsidR="00465926" w:rsidRPr="00325708">
        <w:t xml:space="preserve"> school funding.</w:t>
      </w:r>
      <w:r w:rsidR="00325708" w:rsidRPr="00325708">
        <w:t xml:space="preserve">                                                                                                           T</w:t>
      </w:r>
      <w:r w:rsidRPr="00325708">
        <w:t>he following guidance should be adhered to:</w:t>
      </w:r>
    </w:p>
    <w:p w:rsidR="007C5043" w:rsidRPr="00325708" w:rsidRDefault="00F5489E" w:rsidP="00D627C8">
      <w:pPr>
        <w:pStyle w:val="KCCLegalL2"/>
        <w:numPr>
          <w:ilvl w:val="0"/>
          <w:numId w:val="4"/>
        </w:numPr>
        <w:rPr>
          <w:rFonts w:asciiTheme="minorHAnsi" w:hAnsiTheme="minorHAnsi" w:cstheme="minorBidi"/>
          <w:szCs w:val="22"/>
        </w:rPr>
      </w:pPr>
      <w:bookmarkStart w:id="1" w:name="_Toc387395126"/>
      <w:bookmarkStart w:id="2" w:name="_Toc393378530"/>
      <w:bookmarkStart w:id="3" w:name="_Toc395796787"/>
      <w:bookmarkStart w:id="4" w:name="_Toc396377150"/>
      <w:r w:rsidRPr="00325708">
        <w:rPr>
          <w:rFonts w:asciiTheme="minorHAnsi" w:hAnsiTheme="minorHAnsi" w:cstheme="minorBidi"/>
          <w:szCs w:val="22"/>
        </w:rPr>
        <w:t xml:space="preserve">The delegated /devolved budget is for the delivery of a core programme which fulfils the Councils Statutory Duty as </w:t>
      </w:r>
      <w:r w:rsidR="007C5043" w:rsidRPr="00325708">
        <w:rPr>
          <w:rFonts w:asciiTheme="minorHAnsi" w:hAnsiTheme="minorHAnsi" w:cstheme="minorBidi"/>
          <w:szCs w:val="22"/>
        </w:rPr>
        <w:t>set out in Schedule 1</w:t>
      </w:r>
      <w:bookmarkEnd w:id="1"/>
      <w:bookmarkEnd w:id="2"/>
      <w:bookmarkEnd w:id="3"/>
      <w:bookmarkEnd w:id="4"/>
      <w:r w:rsidRPr="00325708">
        <w:rPr>
          <w:rFonts w:asciiTheme="minorHAnsi" w:hAnsiTheme="minorHAnsi" w:cstheme="minorBidi"/>
          <w:szCs w:val="22"/>
        </w:rPr>
        <w:t xml:space="preserve"> of the SLA</w:t>
      </w:r>
      <w:r w:rsidR="00CA0134" w:rsidRPr="00325708">
        <w:rPr>
          <w:rFonts w:asciiTheme="minorHAnsi" w:hAnsiTheme="minorHAnsi" w:cstheme="minorBidi"/>
          <w:szCs w:val="22"/>
        </w:rPr>
        <w:t xml:space="preserve">. </w:t>
      </w:r>
    </w:p>
    <w:p w:rsidR="00D627C8" w:rsidRPr="00325708" w:rsidRDefault="00F5489E" w:rsidP="00D627C8">
      <w:pPr>
        <w:pStyle w:val="KCCLegalL2"/>
        <w:numPr>
          <w:ilvl w:val="0"/>
          <w:numId w:val="4"/>
        </w:numPr>
        <w:rPr>
          <w:rFonts w:asciiTheme="minorHAnsi" w:hAnsiTheme="minorHAnsi" w:cstheme="minorBidi"/>
          <w:szCs w:val="22"/>
        </w:rPr>
      </w:pPr>
      <w:r w:rsidRPr="00325708">
        <w:rPr>
          <w:rFonts w:asciiTheme="minorHAnsi" w:hAnsiTheme="minorHAnsi" w:cstheme="minorBidi"/>
          <w:szCs w:val="22"/>
        </w:rPr>
        <w:t>Where placements are long term (KS4 only), recoupment of the</w:t>
      </w:r>
      <w:r w:rsidR="00465926" w:rsidRPr="00325708">
        <w:rPr>
          <w:rFonts w:asciiTheme="minorHAnsi" w:hAnsiTheme="minorHAnsi" w:cstheme="minorBidi"/>
          <w:szCs w:val="22"/>
        </w:rPr>
        <w:t xml:space="preserve"> AWPU and additional factors are taken into account. The PRU Management Committee and District Head Teachers have agreed the costing of £5500 per year. </w:t>
      </w:r>
      <w:proofErr w:type="gramStart"/>
      <w:r w:rsidR="00325708">
        <w:rPr>
          <w:rFonts w:asciiTheme="minorHAnsi" w:hAnsiTheme="minorHAnsi" w:cstheme="minorBidi"/>
          <w:szCs w:val="22"/>
        </w:rPr>
        <w:t>Which includes FSM.</w:t>
      </w:r>
      <w:proofErr w:type="gramEnd"/>
    </w:p>
    <w:p w:rsidR="00CD3A89" w:rsidRPr="00325708" w:rsidRDefault="00497456" w:rsidP="00D627C8">
      <w:pPr>
        <w:pStyle w:val="KCCLegalL2"/>
        <w:numPr>
          <w:ilvl w:val="0"/>
          <w:numId w:val="4"/>
        </w:numPr>
        <w:rPr>
          <w:rFonts w:asciiTheme="minorHAnsi" w:hAnsiTheme="minorHAnsi" w:cstheme="minorBidi"/>
          <w:szCs w:val="22"/>
        </w:rPr>
      </w:pPr>
      <w:r w:rsidRPr="00325708">
        <w:rPr>
          <w:rFonts w:asciiTheme="minorHAnsi" w:hAnsiTheme="minorHAnsi" w:cstheme="minorBidi"/>
          <w:szCs w:val="22"/>
        </w:rPr>
        <w:t xml:space="preserve">KS3 </w:t>
      </w:r>
      <w:r w:rsidR="00465926" w:rsidRPr="00325708">
        <w:rPr>
          <w:rFonts w:asciiTheme="minorHAnsi" w:hAnsiTheme="minorHAnsi" w:cstheme="minorBidi"/>
          <w:szCs w:val="22"/>
        </w:rPr>
        <w:t>Short Term</w:t>
      </w:r>
      <w:r w:rsidRPr="00325708">
        <w:rPr>
          <w:rFonts w:asciiTheme="minorHAnsi" w:hAnsiTheme="minorHAnsi" w:cstheme="minorBidi"/>
          <w:szCs w:val="22"/>
        </w:rPr>
        <w:t>/</w:t>
      </w:r>
      <w:r w:rsidR="00465926" w:rsidRPr="00325708">
        <w:rPr>
          <w:rFonts w:asciiTheme="minorHAnsi" w:hAnsiTheme="minorHAnsi" w:cstheme="minorBidi"/>
          <w:szCs w:val="22"/>
        </w:rPr>
        <w:t xml:space="preserve">Time out provision (6 weeks or less), intervention and outreach support </w:t>
      </w:r>
      <w:r w:rsidRPr="00325708">
        <w:rPr>
          <w:rFonts w:asciiTheme="minorHAnsi" w:hAnsiTheme="minorHAnsi" w:cstheme="minorBidi"/>
          <w:szCs w:val="22"/>
        </w:rPr>
        <w:t>is at no additional cost</w:t>
      </w:r>
      <w:r w:rsidR="00465926" w:rsidRPr="00325708">
        <w:rPr>
          <w:rFonts w:asciiTheme="minorHAnsi" w:hAnsiTheme="minorHAnsi" w:cstheme="minorBidi"/>
          <w:szCs w:val="22"/>
        </w:rPr>
        <w:t xml:space="preserve"> for school</w:t>
      </w:r>
      <w:r w:rsidRPr="00325708">
        <w:rPr>
          <w:rFonts w:asciiTheme="minorHAnsi" w:hAnsiTheme="minorHAnsi" w:cstheme="minorBidi"/>
          <w:szCs w:val="22"/>
        </w:rPr>
        <w:t xml:space="preserve">s, apart from exceptional </w:t>
      </w:r>
      <w:r w:rsidR="00465926" w:rsidRPr="00325708">
        <w:rPr>
          <w:rFonts w:asciiTheme="minorHAnsi" w:hAnsiTheme="minorHAnsi" w:cstheme="minorBidi"/>
          <w:szCs w:val="22"/>
        </w:rPr>
        <w:t>Travel</w:t>
      </w:r>
      <w:r w:rsidRPr="00325708">
        <w:rPr>
          <w:rFonts w:asciiTheme="minorHAnsi" w:hAnsiTheme="minorHAnsi" w:cstheme="minorBidi"/>
          <w:szCs w:val="22"/>
        </w:rPr>
        <w:t xml:space="preserve"> costs *</w:t>
      </w:r>
      <w:r w:rsidR="00465926" w:rsidRPr="00325708">
        <w:rPr>
          <w:rFonts w:asciiTheme="minorHAnsi" w:hAnsiTheme="minorHAnsi" w:cstheme="minorBidi"/>
          <w:szCs w:val="22"/>
        </w:rPr>
        <w:t xml:space="preserve">. Pupil Places which exceed the 6 week TO or when a </w:t>
      </w:r>
      <w:r w:rsidR="00325708">
        <w:rPr>
          <w:rFonts w:asciiTheme="minorHAnsi" w:hAnsiTheme="minorHAnsi" w:cstheme="minorBidi"/>
          <w:szCs w:val="22"/>
        </w:rPr>
        <w:t>pupil returns to the PRU will incur a</w:t>
      </w:r>
      <w:r w:rsidR="00465926" w:rsidRPr="00325708">
        <w:rPr>
          <w:rFonts w:asciiTheme="minorHAnsi" w:hAnsiTheme="minorHAnsi" w:cstheme="minorBidi"/>
          <w:szCs w:val="22"/>
        </w:rPr>
        <w:t xml:space="preserve"> </w:t>
      </w:r>
      <w:r w:rsidR="00325708">
        <w:rPr>
          <w:rFonts w:asciiTheme="minorHAnsi" w:hAnsiTheme="minorHAnsi" w:cstheme="minorBidi"/>
          <w:szCs w:val="22"/>
        </w:rPr>
        <w:t xml:space="preserve">pro-rata charge </w:t>
      </w:r>
      <w:r w:rsidR="00CD3A89" w:rsidRPr="00325708">
        <w:rPr>
          <w:rFonts w:asciiTheme="minorHAnsi" w:hAnsiTheme="minorHAnsi" w:cstheme="minorBidi"/>
          <w:szCs w:val="22"/>
        </w:rPr>
        <w:t xml:space="preserve">(Table 2). Consideration must be given to the </w:t>
      </w:r>
      <w:r w:rsidR="00654204" w:rsidRPr="00325708">
        <w:rPr>
          <w:rFonts w:asciiTheme="minorHAnsi" w:hAnsiTheme="minorHAnsi" w:cstheme="minorBidi"/>
          <w:szCs w:val="22"/>
        </w:rPr>
        <w:t>impact on school resources</w:t>
      </w:r>
      <w:r w:rsidR="00CD3A89" w:rsidRPr="00325708">
        <w:rPr>
          <w:rFonts w:asciiTheme="minorHAnsi" w:hAnsiTheme="minorHAnsi" w:cstheme="minorBidi"/>
          <w:szCs w:val="22"/>
        </w:rPr>
        <w:t xml:space="preserve"> of charging for short </w:t>
      </w:r>
      <w:r w:rsidR="00654204" w:rsidRPr="00325708">
        <w:rPr>
          <w:rFonts w:asciiTheme="minorHAnsi" w:hAnsiTheme="minorHAnsi" w:cstheme="minorBidi"/>
          <w:szCs w:val="22"/>
        </w:rPr>
        <w:t>term placements</w:t>
      </w:r>
      <w:r w:rsidR="00CD3A89" w:rsidRPr="00325708">
        <w:rPr>
          <w:rFonts w:asciiTheme="minorHAnsi" w:hAnsiTheme="minorHAnsi" w:cstheme="minorBidi"/>
          <w:szCs w:val="22"/>
        </w:rPr>
        <w:t>.</w:t>
      </w:r>
    </w:p>
    <w:p w:rsidR="00D627C8" w:rsidRPr="00325708" w:rsidRDefault="00D627C8" w:rsidP="00D627C8">
      <w:pPr>
        <w:pStyle w:val="KCCLegalL2"/>
        <w:numPr>
          <w:ilvl w:val="0"/>
          <w:numId w:val="4"/>
        </w:numPr>
        <w:rPr>
          <w:rFonts w:asciiTheme="minorHAnsi" w:hAnsiTheme="minorHAnsi" w:cstheme="minorBidi"/>
          <w:szCs w:val="22"/>
        </w:rPr>
      </w:pPr>
      <w:r w:rsidRPr="00325708">
        <w:rPr>
          <w:rFonts w:asciiTheme="minorHAnsi" w:hAnsiTheme="minorHAnsi" w:cstheme="minorBidi"/>
          <w:szCs w:val="22"/>
        </w:rPr>
        <w:t xml:space="preserve">The charges to schools must not prohibit access to </w:t>
      </w:r>
      <w:r w:rsidR="00CD3A89" w:rsidRPr="00325708">
        <w:rPr>
          <w:rFonts w:asciiTheme="minorHAnsi" w:hAnsiTheme="minorHAnsi" w:cstheme="minorBidi"/>
          <w:szCs w:val="22"/>
        </w:rPr>
        <w:t xml:space="preserve">or engagement with </w:t>
      </w:r>
      <w:r w:rsidRPr="00325708">
        <w:rPr>
          <w:rFonts w:asciiTheme="minorHAnsi" w:hAnsiTheme="minorHAnsi" w:cstheme="minorBidi"/>
          <w:szCs w:val="22"/>
        </w:rPr>
        <w:t xml:space="preserve">the provision </w:t>
      </w:r>
      <w:r w:rsidR="00CD3A89" w:rsidRPr="00325708">
        <w:rPr>
          <w:rFonts w:asciiTheme="minorHAnsi" w:hAnsiTheme="minorHAnsi" w:cstheme="minorBidi"/>
          <w:szCs w:val="22"/>
        </w:rPr>
        <w:t xml:space="preserve">for </w:t>
      </w:r>
      <w:r w:rsidRPr="00325708">
        <w:rPr>
          <w:rFonts w:asciiTheme="minorHAnsi" w:hAnsiTheme="minorHAnsi" w:cstheme="minorBidi"/>
          <w:szCs w:val="22"/>
        </w:rPr>
        <w:t>any pupil.</w:t>
      </w:r>
    </w:p>
    <w:p w:rsidR="00D627C8" w:rsidRPr="00325708" w:rsidRDefault="00D627C8" w:rsidP="00D627C8">
      <w:pPr>
        <w:pStyle w:val="KCCLegalL2"/>
        <w:numPr>
          <w:ilvl w:val="0"/>
          <w:numId w:val="4"/>
        </w:numPr>
        <w:rPr>
          <w:rFonts w:asciiTheme="minorHAnsi" w:hAnsiTheme="minorHAnsi" w:cstheme="minorBidi"/>
          <w:szCs w:val="22"/>
        </w:rPr>
      </w:pPr>
      <w:r w:rsidRPr="00325708">
        <w:rPr>
          <w:rFonts w:asciiTheme="minorHAnsi" w:hAnsiTheme="minorHAnsi" w:cstheme="minorBidi"/>
          <w:szCs w:val="22"/>
        </w:rPr>
        <w:t xml:space="preserve">Charges </w:t>
      </w:r>
      <w:r w:rsidR="00325708">
        <w:rPr>
          <w:rFonts w:asciiTheme="minorHAnsi" w:hAnsiTheme="minorHAnsi" w:cstheme="minorBidi"/>
          <w:szCs w:val="22"/>
        </w:rPr>
        <w:t xml:space="preserve">and places </w:t>
      </w:r>
      <w:r w:rsidRPr="00325708">
        <w:rPr>
          <w:rFonts w:asciiTheme="minorHAnsi" w:hAnsiTheme="minorHAnsi" w:cstheme="minorBidi"/>
          <w:szCs w:val="22"/>
        </w:rPr>
        <w:t>to schools must be agreed in advance by the local Head Teachers and the Management Committee.</w:t>
      </w:r>
    </w:p>
    <w:p w:rsidR="00681D9D" w:rsidRPr="00325708" w:rsidRDefault="00CD3A89" w:rsidP="00F5489E">
      <w:pPr>
        <w:pStyle w:val="KCCLegalL2"/>
        <w:numPr>
          <w:ilvl w:val="0"/>
          <w:numId w:val="4"/>
        </w:numPr>
        <w:rPr>
          <w:rFonts w:asciiTheme="minorHAnsi" w:hAnsiTheme="minorHAnsi" w:cstheme="minorBidi"/>
          <w:szCs w:val="22"/>
        </w:rPr>
      </w:pPr>
      <w:bookmarkStart w:id="5" w:name="_Toc387395127"/>
      <w:bookmarkStart w:id="6" w:name="_Toc393378531"/>
      <w:bookmarkStart w:id="7" w:name="_Toc395796788"/>
      <w:bookmarkStart w:id="8" w:name="_Toc396377151"/>
      <w:r w:rsidRPr="00325708">
        <w:rPr>
          <w:rFonts w:asciiTheme="minorHAnsi" w:hAnsiTheme="minorHAnsi" w:cstheme="minorBidi"/>
          <w:szCs w:val="22"/>
        </w:rPr>
        <w:t>Where additional charges to schools are made in relation to the delivery of the Programme (including funding for associated administration and staffing costs), the amount of such funding shall be included in the budget, together with a clear description of what that funding shall be used for.</w:t>
      </w:r>
      <w:bookmarkEnd w:id="5"/>
      <w:bookmarkEnd w:id="6"/>
      <w:bookmarkEnd w:id="7"/>
      <w:bookmarkEnd w:id="8"/>
    </w:p>
    <w:p w:rsidR="00845EC4" w:rsidRDefault="00845EC4" w:rsidP="00F5489E">
      <w:pPr>
        <w:pStyle w:val="KCCLegalL2"/>
        <w:numPr>
          <w:ilvl w:val="0"/>
          <w:numId w:val="4"/>
        </w:numPr>
        <w:rPr>
          <w:rFonts w:asciiTheme="minorHAnsi" w:hAnsiTheme="minorHAnsi" w:cstheme="minorBidi"/>
          <w:szCs w:val="22"/>
        </w:rPr>
      </w:pPr>
      <w:r w:rsidRPr="00325708">
        <w:rPr>
          <w:rFonts w:asciiTheme="minorHAnsi" w:hAnsiTheme="minorHAnsi" w:cstheme="minorBidi"/>
          <w:szCs w:val="22"/>
        </w:rPr>
        <w:t>If a school has no alternative but to Permanently Exclude a pupil the cost to the school will be £9000.</w:t>
      </w:r>
    </w:p>
    <w:p w:rsidR="009422FC" w:rsidRDefault="009422FC" w:rsidP="00F5489E">
      <w:pPr>
        <w:pStyle w:val="KCCLegalL2"/>
        <w:numPr>
          <w:ilvl w:val="0"/>
          <w:numId w:val="4"/>
        </w:numPr>
        <w:rPr>
          <w:rFonts w:asciiTheme="minorHAnsi" w:hAnsiTheme="minorHAnsi" w:cstheme="minorBidi"/>
          <w:szCs w:val="22"/>
        </w:rPr>
      </w:pPr>
      <w:r>
        <w:rPr>
          <w:rFonts w:asciiTheme="minorHAnsi" w:hAnsiTheme="minorHAnsi" w:cstheme="minorBidi"/>
          <w:szCs w:val="22"/>
        </w:rPr>
        <w:t xml:space="preserve">Additional places over a school </w:t>
      </w:r>
      <w:r w:rsidRPr="009422FC">
        <w:rPr>
          <w:rFonts w:asciiTheme="minorHAnsi" w:hAnsiTheme="minorHAnsi" w:cstheme="minorBidi"/>
          <w:b/>
          <w:szCs w:val="22"/>
        </w:rPr>
        <w:t>agreed allocated</w:t>
      </w:r>
      <w:r>
        <w:rPr>
          <w:rFonts w:asciiTheme="minorHAnsi" w:hAnsiTheme="minorHAnsi" w:cstheme="minorBidi"/>
          <w:szCs w:val="22"/>
        </w:rPr>
        <w:t xml:space="preserve"> number will cost £8000, pro rata.</w:t>
      </w:r>
    </w:p>
    <w:p w:rsidR="009422FC" w:rsidRPr="00325708" w:rsidRDefault="009422FC" w:rsidP="00F5489E">
      <w:pPr>
        <w:pStyle w:val="KCCLegalL2"/>
        <w:numPr>
          <w:ilvl w:val="0"/>
          <w:numId w:val="4"/>
        </w:numPr>
        <w:rPr>
          <w:rFonts w:asciiTheme="minorHAnsi" w:hAnsiTheme="minorHAnsi" w:cstheme="minorBidi"/>
          <w:szCs w:val="22"/>
        </w:rPr>
      </w:pPr>
      <w:r>
        <w:rPr>
          <w:rFonts w:asciiTheme="minorHAnsi" w:hAnsiTheme="minorHAnsi" w:cstheme="minorBidi"/>
          <w:szCs w:val="22"/>
        </w:rPr>
        <w:t>A Place for an Out of County Pupil is £12,000.</w:t>
      </w:r>
    </w:p>
    <w:p w:rsidR="00CA0134" w:rsidRPr="00325708" w:rsidRDefault="00D627C8" w:rsidP="00CA0134">
      <w:pPr>
        <w:rPr>
          <w:b/>
        </w:rPr>
      </w:pPr>
      <w:proofErr w:type="gramStart"/>
      <w:r w:rsidRPr="00325708">
        <w:rPr>
          <w:b/>
        </w:rPr>
        <w:t>Table 1</w:t>
      </w:r>
      <w:r w:rsidR="00CA0134" w:rsidRPr="00325708">
        <w:rPr>
          <w:b/>
        </w:rPr>
        <w:t xml:space="preserve">:  </w:t>
      </w:r>
      <w:r w:rsidR="00CD3A89" w:rsidRPr="00325708">
        <w:rPr>
          <w:b/>
        </w:rPr>
        <w:t xml:space="preserve">KS4 - </w:t>
      </w:r>
      <w:r w:rsidR="00CA0134" w:rsidRPr="00325708">
        <w:rPr>
          <w:b/>
        </w:rPr>
        <w:t>The average funding rate for non- selective schools in Kent for 2016-17 (excluding lump sum, rates, PFI and London Fringe).</w:t>
      </w:r>
      <w:proofErr w:type="gramEnd"/>
    </w:p>
    <w:tbl>
      <w:tblPr>
        <w:tblW w:w="7832" w:type="dxa"/>
        <w:jc w:val="center"/>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5"/>
        <w:gridCol w:w="3227"/>
        <w:gridCol w:w="1181"/>
        <w:gridCol w:w="664"/>
        <w:gridCol w:w="1525"/>
      </w:tblGrid>
      <w:tr w:rsidR="00497456" w:rsidRPr="00325708" w:rsidTr="00497456">
        <w:trPr>
          <w:trHeight w:val="1605"/>
          <w:jc w:val="center"/>
        </w:trPr>
        <w:tc>
          <w:tcPr>
            <w:tcW w:w="1235" w:type="dxa"/>
            <w:noWrap/>
            <w:tcMar>
              <w:top w:w="0" w:type="dxa"/>
              <w:left w:w="108" w:type="dxa"/>
              <w:bottom w:w="0" w:type="dxa"/>
              <w:right w:w="108" w:type="dxa"/>
            </w:tcMar>
            <w:hideMark/>
          </w:tcPr>
          <w:p w:rsidR="00497456" w:rsidRPr="00325708" w:rsidRDefault="00497456">
            <w:pPr>
              <w:rPr>
                <w:rFonts w:ascii="Calibri" w:hAnsi="Calibri"/>
                <w:b/>
                <w:color w:val="000000"/>
                <w:lang w:eastAsia="en-GB"/>
              </w:rPr>
            </w:pPr>
            <w:r w:rsidRPr="00325708">
              <w:rPr>
                <w:b/>
                <w:color w:val="000000"/>
                <w:lang w:eastAsia="en-GB"/>
              </w:rPr>
              <w:t>AWPU</w:t>
            </w:r>
          </w:p>
        </w:tc>
        <w:tc>
          <w:tcPr>
            <w:tcW w:w="3227" w:type="dxa"/>
            <w:tcMar>
              <w:top w:w="0" w:type="dxa"/>
              <w:left w:w="108" w:type="dxa"/>
              <w:bottom w:w="0" w:type="dxa"/>
              <w:right w:w="108" w:type="dxa"/>
            </w:tcMar>
            <w:hideMark/>
          </w:tcPr>
          <w:p w:rsidR="00497456" w:rsidRPr="00325708" w:rsidRDefault="00497456" w:rsidP="00497456">
            <w:pPr>
              <w:rPr>
                <w:rFonts w:ascii="Calibri" w:hAnsi="Calibri"/>
                <w:b/>
                <w:color w:val="000000"/>
                <w:lang w:eastAsia="en-GB"/>
              </w:rPr>
            </w:pPr>
            <w:r w:rsidRPr="00325708">
              <w:rPr>
                <w:b/>
                <w:color w:val="000000"/>
                <w:lang w:eastAsia="en-GB"/>
              </w:rPr>
              <w:t>Additional factors:</w:t>
            </w:r>
            <w:r w:rsidRPr="00325708">
              <w:rPr>
                <w:b/>
                <w:color w:val="000000"/>
                <w:lang w:eastAsia="en-GB"/>
              </w:rPr>
              <w:br/>
              <w:t>Free School Meals</w:t>
            </w:r>
            <w:r w:rsidRPr="00325708">
              <w:rPr>
                <w:b/>
                <w:color w:val="000000"/>
                <w:lang w:eastAsia="en-GB"/>
              </w:rPr>
              <w:br/>
              <w:t>IDACI</w:t>
            </w:r>
            <w:r w:rsidRPr="00325708">
              <w:rPr>
                <w:b/>
                <w:color w:val="000000"/>
                <w:lang w:eastAsia="en-GB"/>
              </w:rPr>
              <w:br/>
              <w:t>LAC</w:t>
            </w:r>
            <w:r w:rsidRPr="00325708">
              <w:rPr>
                <w:b/>
                <w:color w:val="000000"/>
                <w:lang w:eastAsia="en-GB"/>
              </w:rPr>
              <w:br/>
              <w:t>EAL</w:t>
            </w:r>
            <w:r w:rsidRPr="00325708">
              <w:rPr>
                <w:b/>
                <w:color w:val="000000"/>
                <w:lang w:eastAsia="en-GB"/>
              </w:rPr>
              <w:br/>
              <w:t>Low PA                          Supplement for long term placement</w:t>
            </w:r>
          </w:p>
        </w:tc>
        <w:tc>
          <w:tcPr>
            <w:tcW w:w="1181" w:type="dxa"/>
            <w:noWrap/>
            <w:tcMar>
              <w:top w:w="0" w:type="dxa"/>
              <w:left w:w="108" w:type="dxa"/>
              <w:bottom w:w="0" w:type="dxa"/>
              <w:right w:w="108" w:type="dxa"/>
            </w:tcMar>
            <w:hideMark/>
          </w:tcPr>
          <w:p w:rsidR="00497456" w:rsidRPr="00325708" w:rsidRDefault="00497456">
            <w:pPr>
              <w:rPr>
                <w:rFonts w:ascii="Calibri" w:hAnsi="Calibri"/>
                <w:b/>
                <w:color w:val="000000"/>
                <w:lang w:eastAsia="en-GB"/>
              </w:rPr>
            </w:pPr>
            <w:r w:rsidRPr="00325708">
              <w:rPr>
                <w:b/>
                <w:color w:val="000000"/>
                <w:lang w:eastAsia="en-GB"/>
              </w:rPr>
              <w:t>Total</w:t>
            </w:r>
          </w:p>
        </w:tc>
        <w:tc>
          <w:tcPr>
            <w:tcW w:w="664" w:type="dxa"/>
            <w:tcBorders>
              <w:top w:val="nil"/>
              <w:bottom w:val="nil"/>
            </w:tcBorders>
            <w:noWrap/>
            <w:tcMar>
              <w:top w:w="0" w:type="dxa"/>
              <w:left w:w="108" w:type="dxa"/>
              <w:bottom w:w="0" w:type="dxa"/>
              <w:right w:w="108" w:type="dxa"/>
            </w:tcMar>
            <w:vAlign w:val="bottom"/>
            <w:hideMark/>
          </w:tcPr>
          <w:p w:rsidR="00497456" w:rsidRPr="00325708" w:rsidRDefault="00497456">
            <w:pPr>
              <w:rPr>
                <w:rFonts w:ascii="Times New Roman" w:eastAsia="Times New Roman" w:hAnsi="Times New Roman"/>
                <w:b/>
                <w:lang w:eastAsia="en-GB"/>
              </w:rPr>
            </w:pPr>
          </w:p>
        </w:tc>
        <w:tc>
          <w:tcPr>
            <w:tcW w:w="1525" w:type="dxa"/>
            <w:tcMar>
              <w:top w:w="0" w:type="dxa"/>
              <w:left w:w="108" w:type="dxa"/>
              <w:bottom w:w="0" w:type="dxa"/>
              <w:right w:w="108" w:type="dxa"/>
            </w:tcMar>
            <w:hideMark/>
          </w:tcPr>
          <w:p w:rsidR="00497456" w:rsidRPr="00325708" w:rsidRDefault="00497456">
            <w:pPr>
              <w:rPr>
                <w:rFonts w:ascii="Calibri" w:hAnsi="Calibri"/>
                <w:b/>
                <w:color w:val="000000"/>
                <w:lang w:eastAsia="en-GB"/>
              </w:rPr>
            </w:pPr>
            <w:r w:rsidRPr="00325708">
              <w:rPr>
                <w:b/>
                <w:color w:val="000000"/>
                <w:lang w:eastAsia="en-GB"/>
              </w:rPr>
              <w:t>Termly rate total</w:t>
            </w:r>
          </w:p>
        </w:tc>
      </w:tr>
      <w:tr w:rsidR="00497456" w:rsidRPr="00325708" w:rsidTr="00497456">
        <w:trPr>
          <w:trHeight w:val="388"/>
          <w:jc w:val="center"/>
        </w:trPr>
        <w:tc>
          <w:tcPr>
            <w:tcW w:w="1235" w:type="dxa"/>
            <w:noWrap/>
            <w:tcMar>
              <w:top w:w="0" w:type="dxa"/>
              <w:left w:w="108" w:type="dxa"/>
              <w:bottom w:w="0" w:type="dxa"/>
              <w:right w:w="108" w:type="dxa"/>
            </w:tcMar>
            <w:vAlign w:val="bottom"/>
            <w:hideMark/>
          </w:tcPr>
          <w:p w:rsidR="00497456" w:rsidRPr="00325708" w:rsidRDefault="00497456">
            <w:pPr>
              <w:jc w:val="right"/>
              <w:rPr>
                <w:rFonts w:ascii="Calibri" w:hAnsi="Calibri"/>
                <w:color w:val="000000"/>
                <w:lang w:eastAsia="en-GB"/>
              </w:rPr>
            </w:pPr>
            <w:r w:rsidRPr="00325708">
              <w:rPr>
                <w:color w:val="000000"/>
                <w:lang w:eastAsia="en-GB"/>
              </w:rPr>
              <w:t>£4,173</w:t>
            </w:r>
          </w:p>
        </w:tc>
        <w:tc>
          <w:tcPr>
            <w:tcW w:w="3227" w:type="dxa"/>
            <w:noWrap/>
            <w:tcMar>
              <w:top w:w="0" w:type="dxa"/>
              <w:left w:w="108" w:type="dxa"/>
              <w:bottom w:w="0" w:type="dxa"/>
              <w:right w:w="108" w:type="dxa"/>
            </w:tcMar>
            <w:vAlign w:val="bottom"/>
            <w:hideMark/>
          </w:tcPr>
          <w:p w:rsidR="00497456" w:rsidRPr="00325708" w:rsidRDefault="00497456">
            <w:pPr>
              <w:jc w:val="right"/>
              <w:rPr>
                <w:rFonts w:ascii="Calibri" w:hAnsi="Calibri"/>
                <w:color w:val="000000"/>
                <w:lang w:eastAsia="en-GB"/>
              </w:rPr>
            </w:pPr>
            <w:r w:rsidRPr="00325708">
              <w:rPr>
                <w:color w:val="000000"/>
                <w:lang w:eastAsia="en-GB"/>
              </w:rPr>
              <w:t>£1,327</w:t>
            </w:r>
          </w:p>
        </w:tc>
        <w:tc>
          <w:tcPr>
            <w:tcW w:w="1181" w:type="dxa"/>
            <w:noWrap/>
            <w:tcMar>
              <w:top w:w="0" w:type="dxa"/>
              <w:left w:w="108" w:type="dxa"/>
              <w:bottom w:w="0" w:type="dxa"/>
              <w:right w:w="108" w:type="dxa"/>
            </w:tcMar>
            <w:vAlign w:val="bottom"/>
            <w:hideMark/>
          </w:tcPr>
          <w:p w:rsidR="00497456" w:rsidRPr="00325708" w:rsidRDefault="00497456" w:rsidP="00497456">
            <w:pPr>
              <w:jc w:val="right"/>
              <w:rPr>
                <w:rFonts w:ascii="Calibri" w:hAnsi="Calibri"/>
                <w:color w:val="000000"/>
                <w:lang w:eastAsia="en-GB"/>
              </w:rPr>
            </w:pPr>
            <w:r w:rsidRPr="00325708">
              <w:rPr>
                <w:color w:val="000000"/>
                <w:lang w:eastAsia="en-GB"/>
              </w:rPr>
              <w:t>£5,500</w:t>
            </w:r>
          </w:p>
        </w:tc>
        <w:tc>
          <w:tcPr>
            <w:tcW w:w="664" w:type="dxa"/>
            <w:tcBorders>
              <w:top w:val="nil"/>
              <w:bottom w:val="nil"/>
            </w:tcBorders>
            <w:noWrap/>
            <w:tcMar>
              <w:top w:w="0" w:type="dxa"/>
              <w:left w:w="108" w:type="dxa"/>
              <w:bottom w:w="0" w:type="dxa"/>
              <w:right w:w="108" w:type="dxa"/>
            </w:tcMar>
            <w:vAlign w:val="bottom"/>
            <w:hideMark/>
          </w:tcPr>
          <w:p w:rsidR="00497456" w:rsidRPr="00325708" w:rsidRDefault="00497456">
            <w:pPr>
              <w:rPr>
                <w:rFonts w:ascii="Times New Roman" w:eastAsia="Times New Roman" w:hAnsi="Times New Roman"/>
                <w:lang w:eastAsia="en-GB"/>
              </w:rPr>
            </w:pPr>
          </w:p>
        </w:tc>
        <w:tc>
          <w:tcPr>
            <w:tcW w:w="1525" w:type="dxa"/>
            <w:noWrap/>
            <w:tcMar>
              <w:top w:w="0" w:type="dxa"/>
              <w:left w:w="108" w:type="dxa"/>
              <w:bottom w:w="0" w:type="dxa"/>
              <w:right w:w="108" w:type="dxa"/>
            </w:tcMar>
            <w:vAlign w:val="bottom"/>
            <w:hideMark/>
          </w:tcPr>
          <w:p w:rsidR="00497456" w:rsidRPr="00325708" w:rsidRDefault="00497456">
            <w:pPr>
              <w:jc w:val="right"/>
              <w:rPr>
                <w:rFonts w:ascii="Calibri" w:hAnsi="Calibri"/>
                <w:color w:val="000000"/>
                <w:lang w:eastAsia="en-GB"/>
              </w:rPr>
            </w:pPr>
            <w:r w:rsidRPr="00325708">
              <w:rPr>
                <w:color w:val="000000"/>
                <w:lang w:eastAsia="en-GB"/>
              </w:rPr>
              <w:t>£916.67</w:t>
            </w:r>
          </w:p>
        </w:tc>
      </w:tr>
    </w:tbl>
    <w:p w:rsidR="00325708" w:rsidRDefault="00325708" w:rsidP="00CD3A89">
      <w:pPr>
        <w:rPr>
          <w:b/>
        </w:rPr>
      </w:pPr>
    </w:p>
    <w:p w:rsidR="00325708" w:rsidRDefault="00325708" w:rsidP="00CD3A89">
      <w:pPr>
        <w:rPr>
          <w:b/>
        </w:rPr>
      </w:pPr>
    </w:p>
    <w:p w:rsidR="0032182E" w:rsidRDefault="00CD3A89" w:rsidP="00CD3A89">
      <w:pPr>
        <w:rPr>
          <w:b/>
        </w:rPr>
      </w:pPr>
      <w:proofErr w:type="gramStart"/>
      <w:r w:rsidRPr="00325708">
        <w:rPr>
          <w:b/>
        </w:rPr>
        <w:lastRenderedPageBreak/>
        <w:t>Table 1:  KS3 - The average funding rate for non- selective schools in Kent for 2016-17 (excluding lump sum, rates, PFI and London Fringe).</w:t>
      </w:r>
      <w:proofErr w:type="gramEnd"/>
      <w:r w:rsidR="00497456" w:rsidRPr="00325708">
        <w:rPr>
          <w:b/>
        </w:rPr>
        <w:t xml:space="preserve">  </w:t>
      </w:r>
    </w:p>
    <w:p w:rsidR="00CD3A89" w:rsidRPr="00325708" w:rsidRDefault="00497456" w:rsidP="00CD3A89">
      <w:pPr>
        <w:rPr>
          <w:b/>
        </w:rPr>
      </w:pPr>
      <w:r w:rsidRPr="00325708">
        <w:rPr>
          <w:b/>
        </w:rPr>
        <w:t xml:space="preserve">No additional cost to school for placement under 6 weeks. </w:t>
      </w:r>
    </w:p>
    <w:tbl>
      <w:tblPr>
        <w:tblW w:w="7751" w:type="dxa"/>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8"/>
        <w:gridCol w:w="2943"/>
        <w:gridCol w:w="1181"/>
        <w:gridCol w:w="664"/>
        <w:gridCol w:w="1525"/>
      </w:tblGrid>
      <w:tr w:rsidR="00497456" w:rsidRPr="00325708" w:rsidTr="00325708">
        <w:trPr>
          <w:trHeight w:val="2231"/>
          <w:jc w:val="center"/>
        </w:trPr>
        <w:tc>
          <w:tcPr>
            <w:tcW w:w="1438" w:type="dxa"/>
            <w:noWrap/>
            <w:tcMar>
              <w:top w:w="0" w:type="dxa"/>
              <w:left w:w="108" w:type="dxa"/>
              <w:bottom w:w="0" w:type="dxa"/>
              <w:right w:w="108" w:type="dxa"/>
            </w:tcMar>
            <w:hideMark/>
          </w:tcPr>
          <w:p w:rsidR="00497456" w:rsidRPr="00325708" w:rsidRDefault="00497456" w:rsidP="00CD3A89">
            <w:pPr>
              <w:rPr>
                <w:rFonts w:ascii="Calibri" w:hAnsi="Calibri"/>
                <w:b/>
                <w:color w:val="000000"/>
                <w:lang w:eastAsia="en-GB"/>
              </w:rPr>
            </w:pPr>
            <w:r w:rsidRPr="00325708">
              <w:rPr>
                <w:b/>
                <w:color w:val="000000"/>
                <w:lang w:eastAsia="en-GB"/>
              </w:rPr>
              <w:t>AWPU</w:t>
            </w:r>
          </w:p>
        </w:tc>
        <w:tc>
          <w:tcPr>
            <w:tcW w:w="2943" w:type="dxa"/>
            <w:tcMar>
              <w:top w:w="0" w:type="dxa"/>
              <w:left w:w="108" w:type="dxa"/>
              <w:bottom w:w="0" w:type="dxa"/>
              <w:right w:w="108" w:type="dxa"/>
            </w:tcMar>
            <w:hideMark/>
          </w:tcPr>
          <w:p w:rsidR="00497456" w:rsidRPr="00325708" w:rsidRDefault="00497456" w:rsidP="00CD3A89">
            <w:pPr>
              <w:rPr>
                <w:b/>
                <w:color w:val="000000"/>
                <w:lang w:eastAsia="en-GB"/>
              </w:rPr>
            </w:pPr>
            <w:r w:rsidRPr="00325708">
              <w:rPr>
                <w:b/>
                <w:color w:val="000000"/>
                <w:lang w:eastAsia="en-GB"/>
              </w:rPr>
              <w:t>additional factors:</w:t>
            </w:r>
            <w:r w:rsidRPr="00325708">
              <w:rPr>
                <w:b/>
                <w:color w:val="000000"/>
                <w:lang w:eastAsia="en-GB"/>
              </w:rPr>
              <w:br/>
              <w:t>Free School Meals</w:t>
            </w:r>
            <w:r w:rsidRPr="00325708">
              <w:rPr>
                <w:b/>
                <w:color w:val="000000"/>
                <w:lang w:eastAsia="en-GB"/>
              </w:rPr>
              <w:br/>
              <w:t>IDACI</w:t>
            </w:r>
            <w:r w:rsidRPr="00325708">
              <w:rPr>
                <w:b/>
                <w:color w:val="000000"/>
                <w:lang w:eastAsia="en-GB"/>
              </w:rPr>
              <w:br/>
              <w:t>LAC</w:t>
            </w:r>
            <w:r w:rsidRPr="00325708">
              <w:rPr>
                <w:b/>
                <w:color w:val="000000"/>
                <w:lang w:eastAsia="en-GB"/>
              </w:rPr>
              <w:br/>
              <w:t>EAL</w:t>
            </w:r>
            <w:r w:rsidRPr="00325708">
              <w:rPr>
                <w:b/>
                <w:color w:val="000000"/>
                <w:lang w:eastAsia="en-GB"/>
              </w:rPr>
              <w:br/>
              <w:t xml:space="preserve">Low PA                    </w:t>
            </w:r>
            <w:r w:rsidR="00325708" w:rsidRPr="00325708">
              <w:rPr>
                <w:b/>
                <w:color w:val="000000"/>
                <w:lang w:eastAsia="en-GB"/>
              </w:rPr>
              <w:t xml:space="preserve">     </w:t>
            </w:r>
            <w:r w:rsidRPr="00325708">
              <w:rPr>
                <w:b/>
                <w:color w:val="000000"/>
                <w:lang w:eastAsia="en-GB"/>
              </w:rPr>
              <w:t>Supplement for long term placement</w:t>
            </w:r>
          </w:p>
        </w:tc>
        <w:tc>
          <w:tcPr>
            <w:tcW w:w="1181" w:type="dxa"/>
            <w:noWrap/>
            <w:tcMar>
              <w:top w:w="0" w:type="dxa"/>
              <w:left w:w="108" w:type="dxa"/>
              <w:bottom w:w="0" w:type="dxa"/>
              <w:right w:w="108" w:type="dxa"/>
            </w:tcMar>
            <w:hideMark/>
          </w:tcPr>
          <w:p w:rsidR="00497456" w:rsidRPr="00325708" w:rsidRDefault="00497456" w:rsidP="00CD3A89">
            <w:pPr>
              <w:rPr>
                <w:rFonts w:ascii="Calibri" w:hAnsi="Calibri"/>
                <w:b/>
                <w:color w:val="000000"/>
                <w:lang w:eastAsia="en-GB"/>
              </w:rPr>
            </w:pPr>
            <w:r w:rsidRPr="00325708">
              <w:rPr>
                <w:b/>
                <w:color w:val="000000"/>
                <w:lang w:eastAsia="en-GB"/>
              </w:rPr>
              <w:t>Total</w:t>
            </w:r>
          </w:p>
        </w:tc>
        <w:tc>
          <w:tcPr>
            <w:tcW w:w="664" w:type="dxa"/>
            <w:tcBorders>
              <w:top w:val="nil"/>
              <w:bottom w:val="nil"/>
            </w:tcBorders>
            <w:noWrap/>
            <w:tcMar>
              <w:top w:w="0" w:type="dxa"/>
              <w:left w:w="108" w:type="dxa"/>
              <w:bottom w:w="0" w:type="dxa"/>
              <w:right w:w="108" w:type="dxa"/>
            </w:tcMar>
            <w:vAlign w:val="bottom"/>
            <w:hideMark/>
          </w:tcPr>
          <w:p w:rsidR="00497456" w:rsidRPr="00325708" w:rsidRDefault="00497456" w:rsidP="00CD3A89">
            <w:pPr>
              <w:rPr>
                <w:rFonts w:ascii="Times New Roman" w:eastAsia="Times New Roman" w:hAnsi="Times New Roman"/>
                <w:b/>
                <w:lang w:eastAsia="en-GB"/>
              </w:rPr>
            </w:pPr>
          </w:p>
        </w:tc>
        <w:tc>
          <w:tcPr>
            <w:tcW w:w="1525" w:type="dxa"/>
            <w:tcMar>
              <w:top w:w="0" w:type="dxa"/>
              <w:left w:w="108" w:type="dxa"/>
              <w:bottom w:w="0" w:type="dxa"/>
              <w:right w:w="108" w:type="dxa"/>
            </w:tcMar>
            <w:hideMark/>
          </w:tcPr>
          <w:p w:rsidR="00497456" w:rsidRPr="00325708" w:rsidRDefault="00497456" w:rsidP="00CD3A89">
            <w:pPr>
              <w:rPr>
                <w:b/>
                <w:color w:val="000000"/>
                <w:lang w:eastAsia="en-GB"/>
              </w:rPr>
            </w:pPr>
            <w:r w:rsidRPr="00325708">
              <w:rPr>
                <w:b/>
                <w:color w:val="000000"/>
                <w:lang w:eastAsia="en-GB"/>
              </w:rPr>
              <w:t>Termly rate total</w:t>
            </w:r>
          </w:p>
          <w:p w:rsidR="00325708" w:rsidRPr="00325708" w:rsidRDefault="00325708" w:rsidP="00CD3A89">
            <w:pPr>
              <w:rPr>
                <w:b/>
                <w:color w:val="000000"/>
                <w:lang w:eastAsia="en-GB"/>
              </w:rPr>
            </w:pPr>
          </w:p>
          <w:p w:rsidR="00325708" w:rsidRPr="00325708" w:rsidRDefault="00325708" w:rsidP="00CD3A89">
            <w:pPr>
              <w:rPr>
                <w:b/>
                <w:color w:val="000000"/>
                <w:lang w:eastAsia="en-GB"/>
              </w:rPr>
            </w:pPr>
          </w:p>
          <w:p w:rsidR="00325708" w:rsidRPr="00325708" w:rsidRDefault="00325708" w:rsidP="00CD3A89">
            <w:pPr>
              <w:rPr>
                <w:rFonts w:ascii="Calibri" w:hAnsi="Calibri"/>
                <w:b/>
                <w:color w:val="000000"/>
                <w:lang w:eastAsia="en-GB"/>
              </w:rPr>
            </w:pPr>
          </w:p>
        </w:tc>
      </w:tr>
      <w:tr w:rsidR="00497456" w:rsidRPr="00325708" w:rsidTr="00497456">
        <w:trPr>
          <w:trHeight w:val="147"/>
          <w:jc w:val="center"/>
        </w:trPr>
        <w:tc>
          <w:tcPr>
            <w:tcW w:w="1438" w:type="dxa"/>
            <w:noWrap/>
            <w:tcMar>
              <w:top w:w="0" w:type="dxa"/>
              <w:left w:w="108" w:type="dxa"/>
              <w:bottom w:w="0" w:type="dxa"/>
              <w:right w:w="108" w:type="dxa"/>
            </w:tcMar>
            <w:vAlign w:val="bottom"/>
            <w:hideMark/>
          </w:tcPr>
          <w:p w:rsidR="00497456" w:rsidRPr="00325708" w:rsidRDefault="00497456" w:rsidP="00CD3A89">
            <w:pPr>
              <w:jc w:val="right"/>
              <w:rPr>
                <w:rFonts w:ascii="Calibri" w:hAnsi="Calibri"/>
                <w:color w:val="000000"/>
                <w:lang w:eastAsia="en-GB"/>
              </w:rPr>
            </w:pPr>
            <w:r w:rsidRPr="00325708">
              <w:rPr>
                <w:color w:val="000000"/>
                <w:lang w:eastAsia="en-GB"/>
              </w:rPr>
              <w:t>£3,803</w:t>
            </w:r>
          </w:p>
        </w:tc>
        <w:tc>
          <w:tcPr>
            <w:tcW w:w="2943" w:type="dxa"/>
            <w:noWrap/>
            <w:tcMar>
              <w:top w:w="0" w:type="dxa"/>
              <w:left w:w="108" w:type="dxa"/>
              <w:bottom w:w="0" w:type="dxa"/>
              <w:right w:w="108" w:type="dxa"/>
            </w:tcMar>
            <w:vAlign w:val="bottom"/>
            <w:hideMark/>
          </w:tcPr>
          <w:p w:rsidR="00497456" w:rsidRPr="00325708" w:rsidRDefault="00497456" w:rsidP="00CD3A89">
            <w:pPr>
              <w:jc w:val="right"/>
              <w:rPr>
                <w:rFonts w:ascii="Calibri" w:hAnsi="Calibri"/>
                <w:color w:val="000000"/>
                <w:lang w:eastAsia="en-GB"/>
              </w:rPr>
            </w:pPr>
            <w:r w:rsidRPr="00325708">
              <w:rPr>
                <w:color w:val="000000"/>
                <w:lang w:eastAsia="en-GB"/>
              </w:rPr>
              <w:t>£1,697</w:t>
            </w:r>
          </w:p>
        </w:tc>
        <w:tc>
          <w:tcPr>
            <w:tcW w:w="1181" w:type="dxa"/>
            <w:noWrap/>
            <w:tcMar>
              <w:top w:w="0" w:type="dxa"/>
              <w:left w:w="108" w:type="dxa"/>
              <w:bottom w:w="0" w:type="dxa"/>
              <w:right w:w="108" w:type="dxa"/>
            </w:tcMar>
            <w:vAlign w:val="bottom"/>
            <w:hideMark/>
          </w:tcPr>
          <w:p w:rsidR="00497456" w:rsidRPr="00325708" w:rsidRDefault="00497456" w:rsidP="00CD3A89">
            <w:pPr>
              <w:jc w:val="right"/>
              <w:rPr>
                <w:rFonts w:ascii="Calibri" w:hAnsi="Calibri"/>
                <w:color w:val="000000"/>
                <w:lang w:eastAsia="en-GB"/>
              </w:rPr>
            </w:pPr>
            <w:r w:rsidRPr="00325708">
              <w:rPr>
                <w:color w:val="000000"/>
                <w:lang w:eastAsia="en-GB"/>
              </w:rPr>
              <w:t>£5,500</w:t>
            </w:r>
          </w:p>
        </w:tc>
        <w:tc>
          <w:tcPr>
            <w:tcW w:w="664" w:type="dxa"/>
            <w:tcBorders>
              <w:top w:val="nil"/>
              <w:bottom w:val="nil"/>
            </w:tcBorders>
            <w:noWrap/>
            <w:tcMar>
              <w:top w:w="0" w:type="dxa"/>
              <w:left w:w="108" w:type="dxa"/>
              <w:bottom w:w="0" w:type="dxa"/>
              <w:right w:w="108" w:type="dxa"/>
            </w:tcMar>
            <w:vAlign w:val="bottom"/>
            <w:hideMark/>
          </w:tcPr>
          <w:p w:rsidR="00497456" w:rsidRPr="00325708" w:rsidRDefault="00497456" w:rsidP="00CD3A89">
            <w:pPr>
              <w:rPr>
                <w:rFonts w:ascii="Times New Roman" w:eastAsia="Times New Roman" w:hAnsi="Times New Roman"/>
                <w:lang w:eastAsia="en-GB"/>
              </w:rPr>
            </w:pPr>
          </w:p>
        </w:tc>
        <w:tc>
          <w:tcPr>
            <w:tcW w:w="1525" w:type="dxa"/>
            <w:noWrap/>
            <w:tcMar>
              <w:top w:w="0" w:type="dxa"/>
              <w:left w:w="108" w:type="dxa"/>
              <w:bottom w:w="0" w:type="dxa"/>
              <w:right w:w="108" w:type="dxa"/>
            </w:tcMar>
            <w:vAlign w:val="bottom"/>
            <w:hideMark/>
          </w:tcPr>
          <w:p w:rsidR="00497456" w:rsidRPr="00325708" w:rsidRDefault="00497456" w:rsidP="00497456">
            <w:pPr>
              <w:jc w:val="right"/>
              <w:rPr>
                <w:rFonts w:ascii="Calibri" w:hAnsi="Calibri"/>
                <w:color w:val="000000"/>
                <w:lang w:eastAsia="en-GB"/>
              </w:rPr>
            </w:pPr>
            <w:r w:rsidRPr="00325708">
              <w:rPr>
                <w:color w:val="000000"/>
                <w:lang w:eastAsia="en-GB"/>
              </w:rPr>
              <w:t>£916.67</w:t>
            </w:r>
          </w:p>
        </w:tc>
      </w:tr>
    </w:tbl>
    <w:p w:rsidR="00D627C8" w:rsidRPr="00325708" w:rsidRDefault="00D627C8" w:rsidP="00497456">
      <w:pPr>
        <w:jc w:val="right"/>
        <w:rPr>
          <w:i/>
        </w:rPr>
      </w:pPr>
    </w:p>
    <w:p w:rsidR="00497456" w:rsidRPr="00325708" w:rsidRDefault="00497456" w:rsidP="00497456">
      <w:pPr>
        <w:jc w:val="right"/>
        <w:rPr>
          <w:i/>
        </w:rPr>
      </w:pPr>
    </w:p>
    <w:p w:rsidR="00497456" w:rsidRPr="00325708" w:rsidRDefault="00497456" w:rsidP="00497456">
      <w:pPr>
        <w:rPr>
          <w:i/>
        </w:rPr>
      </w:pPr>
      <w:r w:rsidRPr="00325708">
        <w:rPr>
          <w:i/>
        </w:rPr>
        <w:t xml:space="preserve">*Exceptional travel cost </w:t>
      </w:r>
      <w:r w:rsidR="00325708" w:rsidRPr="00325708">
        <w:rPr>
          <w:i/>
        </w:rPr>
        <w:t>are considered when there is an agreement that a pupil needs a train</w:t>
      </w:r>
      <w:r w:rsidR="0032182E">
        <w:rPr>
          <w:i/>
        </w:rPr>
        <w:t xml:space="preserve"> or </w:t>
      </w:r>
      <w:proofErr w:type="gramStart"/>
      <w:r w:rsidR="0032182E">
        <w:rPr>
          <w:i/>
        </w:rPr>
        <w:t xml:space="preserve">Taxi </w:t>
      </w:r>
      <w:r w:rsidR="00325708" w:rsidRPr="00325708">
        <w:rPr>
          <w:i/>
        </w:rPr>
        <w:t xml:space="preserve"> </w:t>
      </w:r>
      <w:r w:rsidR="0032182E">
        <w:rPr>
          <w:i/>
        </w:rPr>
        <w:t>rather</w:t>
      </w:r>
      <w:proofErr w:type="gramEnd"/>
      <w:r w:rsidR="0032182E">
        <w:rPr>
          <w:i/>
        </w:rPr>
        <w:t xml:space="preserve"> than a bus pass</w:t>
      </w:r>
      <w:r w:rsidR="00325708" w:rsidRPr="00325708">
        <w:rPr>
          <w:i/>
        </w:rPr>
        <w:t xml:space="preserve">. These have to be agreed by the school and PRU in advance. </w:t>
      </w:r>
    </w:p>
    <w:sectPr w:rsidR="00497456" w:rsidRPr="00325708" w:rsidSect="00325708">
      <w:headerReference w:type="default" r:id="rId9"/>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2F" w:rsidRDefault="00C14A2F" w:rsidP="004C3428">
      <w:pPr>
        <w:spacing w:after="0" w:line="240" w:lineRule="auto"/>
      </w:pPr>
      <w:r>
        <w:separator/>
      </w:r>
    </w:p>
  </w:endnote>
  <w:endnote w:type="continuationSeparator" w:id="0">
    <w:p w:rsidR="00C14A2F" w:rsidRDefault="00C14A2F" w:rsidP="004C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2F" w:rsidRDefault="00C14A2F" w:rsidP="004C3428">
      <w:pPr>
        <w:spacing w:after="0" w:line="240" w:lineRule="auto"/>
      </w:pPr>
      <w:r>
        <w:separator/>
      </w:r>
    </w:p>
  </w:footnote>
  <w:footnote w:type="continuationSeparator" w:id="0">
    <w:p w:rsidR="00C14A2F" w:rsidRDefault="00C14A2F" w:rsidP="004C3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28" w:rsidRDefault="004C3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29E6"/>
    <w:multiLevelType w:val="hybridMultilevel"/>
    <w:tmpl w:val="D8C0FA46"/>
    <w:lvl w:ilvl="0" w:tplc="F7D2F2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1547E"/>
    <w:multiLevelType w:val="multilevel"/>
    <w:tmpl w:val="5532F4FE"/>
    <w:lvl w:ilvl="0">
      <w:start w:val="1"/>
      <w:numFmt w:val="decimal"/>
      <w:pStyle w:val="KCCLegalL1"/>
      <w:lvlText w:val="%1."/>
      <w:lvlJc w:val="left"/>
      <w:pPr>
        <w:tabs>
          <w:tab w:val="num" w:pos="992"/>
        </w:tabs>
        <w:ind w:left="992" w:hanging="992"/>
      </w:pPr>
      <w:rPr>
        <w:rFonts w:ascii="Arial (W1)" w:hAnsi="Arial (W1)" w:cs="Times New Roman" w:hint="default"/>
        <w:b/>
        <w:i w:val="0"/>
        <w:caps w:val="0"/>
        <w:sz w:val="22"/>
        <w:u w:val="none"/>
      </w:rPr>
    </w:lvl>
    <w:lvl w:ilvl="1">
      <w:start w:val="1"/>
      <w:numFmt w:val="decimal"/>
      <w:pStyle w:val="KCCLegalL2"/>
      <w:lvlText w:val="%1.%2"/>
      <w:lvlJc w:val="left"/>
      <w:pPr>
        <w:tabs>
          <w:tab w:val="num" w:pos="992"/>
        </w:tabs>
        <w:ind w:left="992" w:hanging="992"/>
      </w:pPr>
      <w:rPr>
        <w:rFonts w:ascii="Arial (W1)" w:hAnsi="Arial (W1)" w:cs="Times New Roman" w:hint="default"/>
        <w:sz w:val="22"/>
        <w:u w:val="none"/>
      </w:rPr>
    </w:lvl>
    <w:lvl w:ilvl="2">
      <w:start w:val="1"/>
      <w:numFmt w:val="decimal"/>
      <w:pStyle w:val="KCCLegalL3"/>
      <w:lvlText w:val="%1.%2.%3"/>
      <w:lvlJc w:val="left"/>
      <w:pPr>
        <w:tabs>
          <w:tab w:val="num" w:pos="992"/>
        </w:tabs>
        <w:ind w:left="992" w:hanging="992"/>
      </w:pPr>
      <w:rPr>
        <w:rFonts w:ascii="Arial (W1)" w:hAnsi="Arial (W1)" w:cs="Times New Roman" w:hint="default"/>
        <w:sz w:val="22"/>
        <w:u w:val="none"/>
      </w:rPr>
    </w:lvl>
    <w:lvl w:ilvl="3">
      <w:start w:val="1"/>
      <w:numFmt w:val="lowerLetter"/>
      <w:pStyle w:val="KCCLegalL4"/>
      <w:lvlText w:val="(%4)"/>
      <w:lvlJc w:val="left"/>
      <w:pPr>
        <w:tabs>
          <w:tab w:val="num" w:pos="1984"/>
        </w:tabs>
        <w:ind w:left="1984" w:hanging="992"/>
      </w:pPr>
      <w:rPr>
        <w:rFonts w:ascii="Arial (W1)" w:hAnsi="Arial (W1)" w:cs="Times New Roman" w:hint="default"/>
        <w:sz w:val="22"/>
        <w:u w:val="none"/>
      </w:rPr>
    </w:lvl>
    <w:lvl w:ilvl="4">
      <w:start w:val="1"/>
      <w:numFmt w:val="lowerRoman"/>
      <w:pStyle w:val="KCCLegalL5"/>
      <w:lvlText w:val="(%5)"/>
      <w:lvlJc w:val="left"/>
      <w:pPr>
        <w:tabs>
          <w:tab w:val="num" w:pos="2976"/>
        </w:tabs>
        <w:ind w:left="2976" w:hanging="992"/>
      </w:pPr>
      <w:rPr>
        <w:rFonts w:ascii="Arial" w:hAnsi="Arial" w:cs="Times New Roman" w:hint="default"/>
        <w:sz w:val="22"/>
        <w:u w:val="none"/>
      </w:rPr>
    </w:lvl>
    <w:lvl w:ilvl="5">
      <w:start w:val="1"/>
      <w:numFmt w:val="decimal"/>
      <w:pStyle w:val="KCCLegalL6"/>
      <w:lvlText w:val="(%6)"/>
      <w:lvlJc w:val="left"/>
      <w:pPr>
        <w:tabs>
          <w:tab w:val="num" w:pos="3968"/>
        </w:tabs>
        <w:ind w:left="3969" w:hanging="993"/>
      </w:pPr>
      <w:rPr>
        <w:rFonts w:ascii="Arial" w:hAnsi="Arial" w:cs="Times New Roman" w:hint="default"/>
        <w:sz w:val="22"/>
        <w:u w:val="none"/>
      </w:rPr>
    </w:lvl>
    <w:lvl w:ilvl="6">
      <w:start w:val="1"/>
      <w:numFmt w:val="upperLetter"/>
      <w:lvlText w:val="(%7)"/>
      <w:lvlJc w:val="left"/>
      <w:pPr>
        <w:tabs>
          <w:tab w:val="num" w:pos="4961"/>
        </w:tabs>
        <w:ind w:left="4961" w:hanging="992"/>
      </w:pPr>
      <w:rPr>
        <w:rFonts w:ascii="Arial" w:hAnsi="Arial" w:cs="Times New Roman" w:hint="default"/>
        <w:b w:val="0"/>
        <w:i w:val="0"/>
        <w:caps w:val="0"/>
        <w:color w:val="auto"/>
        <w:sz w:val="22"/>
        <w:u w:val="none"/>
      </w:rPr>
    </w:lvl>
    <w:lvl w:ilvl="7">
      <w:start w:val="1"/>
      <w:numFmt w:val="bullet"/>
      <w:lvlRestart w:val="0"/>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lvlText w:val="·"/>
      <w:lvlJc w:val="left"/>
      <w:pPr>
        <w:tabs>
          <w:tab w:val="num" w:pos="2976"/>
        </w:tabs>
        <w:ind w:left="2976" w:hanging="992"/>
      </w:pPr>
      <w:rPr>
        <w:rFonts w:ascii="Symbol" w:hAnsi="Symbol" w:hint="default"/>
        <w:b w:val="0"/>
        <w:i w:val="0"/>
        <w:caps w:val="0"/>
        <w:color w:val="auto"/>
        <w:sz w:val="22"/>
        <w:u w:val="none"/>
      </w:rPr>
    </w:lvl>
  </w:abstractNum>
  <w:abstractNum w:abstractNumId="2">
    <w:nsid w:val="221B249D"/>
    <w:multiLevelType w:val="hybridMultilevel"/>
    <w:tmpl w:val="3D788542"/>
    <w:lvl w:ilvl="0" w:tplc="C15448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B451FC"/>
    <w:multiLevelType w:val="hybridMultilevel"/>
    <w:tmpl w:val="0B54E18A"/>
    <w:lvl w:ilvl="0" w:tplc="CB5052AC">
      <w:start w:val="1"/>
      <w:numFmt w:val="bullet"/>
      <w:lvlText w:val="-"/>
      <w:lvlJc w:val="left"/>
      <w:pPr>
        <w:ind w:left="720" w:hanging="360"/>
      </w:pPr>
      <w:rPr>
        <w:rFonts w:ascii="MS Reference Sans Serif" w:hAnsi="MS Reference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D81A80"/>
    <w:multiLevelType w:val="hybridMultilevel"/>
    <w:tmpl w:val="1D6E7C2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225715"/>
    <w:multiLevelType w:val="hybridMultilevel"/>
    <w:tmpl w:val="254EA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F0316A"/>
    <w:multiLevelType w:val="hybridMultilevel"/>
    <w:tmpl w:val="F606E8A2"/>
    <w:lvl w:ilvl="0" w:tplc="3926D2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43"/>
    <w:rsid w:val="00090921"/>
    <w:rsid w:val="001A0CC4"/>
    <w:rsid w:val="001C02B0"/>
    <w:rsid w:val="0032182E"/>
    <w:rsid w:val="00325708"/>
    <w:rsid w:val="00390D96"/>
    <w:rsid w:val="003D4BB6"/>
    <w:rsid w:val="003F1E5C"/>
    <w:rsid w:val="0046327B"/>
    <w:rsid w:val="00465926"/>
    <w:rsid w:val="00496757"/>
    <w:rsid w:val="00497456"/>
    <w:rsid w:val="004C3428"/>
    <w:rsid w:val="00636007"/>
    <w:rsid w:val="00654204"/>
    <w:rsid w:val="006A6ED4"/>
    <w:rsid w:val="007C5043"/>
    <w:rsid w:val="00845EC4"/>
    <w:rsid w:val="00883F3A"/>
    <w:rsid w:val="0088565F"/>
    <w:rsid w:val="00896B60"/>
    <w:rsid w:val="009116DC"/>
    <w:rsid w:val="009422FC"/>
    <w:rsid w:val="00C14A2F"/>
    <w:rsid w:val="00C179BE"/>
    <w:rsid w:val="00C76BB8"/>
    <w:rsid w:val="00CA0134"/>
    <w:rsid w:val="00CB2C9C"/>
    <w:rsid w:val="00CD3A89"/>
    <w:rsid w:val="00D627C8"/>
    <w:rsid w:val="00DE7ABE"/>
    <w:rsid w:val="00EA06AC"/>
    <w:rsid w:val="00EE0432"/>
    <w:rsid w:val="00F54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043"/>
    <w:pPr>
      <w:spacing w:after="220" w:line="240" w:lineRule="auto"/>
      <w:ind w:left="720"/>
      <w:contextualSpacing/>
    </w:pPr>
    <w:rPr>
      <w:rFonts w:ascii="Arial" w:hAnsi="Arial" w:cs="Times New Roman"/>
      <w:szCs w:val="20"/>
      <w:lang w:val="en-US" w:eastAsia="zh-CN"/>
    </w:rPr>
  </w:style>
  <w:style w:type="paragraph" w:customStyle="1" w:styleId="KCCLegalL1">
    <w:name w:val="KCCLegal_L1"/>
    <w:basedOn w:val="Normal"/>
    <w:next w:val="KCCLegalL2"/>
    <w:uiPriority w:val="99"/>
    <w:qFormat/>
    <w:rsid w:val="007C5043"/>
    <w:pPr>
      <w:keepNext/>
      <w:keepLines/>
      <w:numPr>
        <w:numId w:val="2"/>
      </w:numPr>
      <w:spacing w:before="480" w:after="220" w:line="240" w:lineRule="auto"/>
      <w:outlineLvl w:val="0"/>
    </w:pPr>
    <w:rPr>
      <w:rFonts w:ascii="Arial (W1)" w:hAnsi="Arial (W1)" w:cs="Times New Roman"/>
      <w:b/>
      <w:caps/>
      <w:szCs w:val="20"/>
    </w:rPr>
  </w:style>
  <w:style w:type="paragraph" w:customStyle="1" w:styleId="KCCLegalL2">
    <w:name w:val="KCCLegal_L2"/>
    <w:basedOn w:val="Normal"/>
    <w:uiPriority w:val="99"/>
    <w:qFormat/>
    <w:rsid w:val="007C5043"/>
    <w:pPr>
      <w:numPr>
        <w:ilvl w:val="1"/>
        <w:numId w:val="2"/>
      </w:numPr>
      <w:spacing w:after="220" w:line="240" w:lineRule="auto"/>
      <w:jc w:val="both"/>
      <w:outlineLvl w:val="1"/>
    </w:pPr>
    <w:rPr>
      <w:rFonts w:ascii="Arial" w:hAnsi="Arial" w:cs="Times New Roman"/>
      <w:szCs w:val="20"/>
    </w:rPr>
  </w:style>
  <w:style w:type="paragraph" w:customStyle="1" w:styleId="KCCLegalL3">
    <w:name w:val="KCCLegal_L3"/>
    <w:basedOn w:val="Normal"/>
    <w:uiPriority w:val="99"/>
    <w:qFormat/>
    <w:rsid w:val="007C5043"/>
    <w:pPr>
      <w:numPr>
        <w:ilvl w:val="2"/>
        <w:numId w:val="2"/>
      </w:numPr>
      <w:spacing w:after="220" w:line="240" w:lineRule="auto"/>
      <w:jc w:val="both"/>
      <w:outlineLvl w:val="2"/>
    </w:pPr>
    <w:rPr>
      <w:rFonts w:ascii="Arial (W1)" w:hAnsi="Arial (W1)" w:cs="Times New Roman"/>
      <w:szCs w:val="20"/>
    </w:rPr>
  </w:style>
  <w:style w:type="paragraph" w:customStyle="1" w:styleId="KCCLegalL4">
    <w:name w:val="KCCLegal_L4"/>
    <w:basedOn w:val="Normal"/>
    <w:uiPriority w:val="99"/>
    <w:qFormat/>
    <w:rsid w:val="007C5043"/>
    <w:pPr>
      <w:numPr>
        <w:ilvl w:val="3"/>
        <w:numId w:val="2"/>
      </w:numPr>
      <w:spacing w:after="220" w:line="240" w:lineRule="auto"/>
      <w:jc w:val="both"/>
      <w:outlineLvl w:val="3"/>
    </w:pPr>
    <w:rPr>
      <w:rFonts w:ascii="Arial (W1)" w:hAnsi="Arial (W1)" w:cs="Times New Roman"/>
      <w:szCs w:val="20"/>
    </w:rPr>
  </w:style>
  <w:style w:type="paragraph" w:customStyle="1" w:styleId="KCCLegalL5">
    <w:name w:val="KCCLegal_L5"/>
    <w:basedOn w:val="Normal"/>
    <w:uiPriority w:val="99"/>
    <w:qFormat/>
    <w:rsid w:val="007C5043"/>
    <w:pPr>
      <w:numPr>
        <w:ilvl w:val="4"/>
        <w:numId w:val="2"/>
      </w:numPr>
      <w:spacing w:after="220" w:line="240" w:lineRule="auto"/>
      <w:jc w:val="both"/>
      <w:outlineLvl w:val="4"/>
    </w:pPr>
    <w:rPr>
      <w:rFonts w:ascii="Arial (W1)" w:hAnsi="Arial (W1)" w:cs="Times New Roman"/>
      <w:szCs w:val="20"/>
    </w:rPr>
  </w:style>
  <w:style w:type="paragraph" w:customStyle="1" w:styleId="KCCLegalL6">
    <w:name w:val="KCCLegal_L6"/>
    <w:basedOn w:val="Normal"/>
    <w:uiPriority w:val="99"/>
    <w:qFormat/>
    <w:rsid w:val="007C5043"/>
    <w:pPr>
      <w:numPr>
        <w:ilvl w:val="5"/>
        <w:numId w:val="2"/>
      </w:numPr>
      <w:spacing w:after="220" w:line="240" w:lineRule="auto"/>
      <w:jc w:val="both"/>
      <w:outlineLvl w:val="5"/>
    </w:pPr>
    <w:rPr>
      <w:rFonts w:ascii="Arial" w:hAnsi="Arial" w:cs="Times New Roman"/>
      <w:szCs w:val="20"/>
    </w:rPr>
  </w:style>
  <w:style w:type="paragraph" w:styleId="Header">
    <w:name w:val="header"/>
    <w:basedOn w:val="Normal"/>
    <w:link w:val="HeaderChar"/>
    <w:uiPriority w:val="99"/>
    <w:unhideWhenUsed/>
    <w:rsid w:val="004C3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428"/>
  </w:style>
  <w:style w:type="paragraph" w:styleId="Footer">
    <w:name w:val="footer"/>
    <w:basedOn w:val="Normal"/>
    <w:link w:val="FooterChar"/>
    <w:uiPriority w:val="99"/>
    <w:unhideWhenUsed/>
    <w:rsid w:val="004C3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428"/>
  </w:style>
  <w:style w:type="paragraph" w:customStyle="1" w:styleId="Default">
    <w:name w:val="Default"/>
    <w:rsid w:val="00EE043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11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043"/>
    <w:pPr>
      <w:spacing w:after="220" w:line="240" w:lineRule="auto"/>
      <w:ind w:left="720"/>
      <w:contextualSpacing/>
    </w:pPr>
    <w:rPr>
      <w:rFonts w:ascii="Arial" w:hAnsi="Arial" w:cs="Times New Roman"/>
      <w:szCs w:val="20"/>
      <w:lang w:val="en-US" w:eastAsia="zh-CN"/>
    </w:rPr>
  </w:style>
  <w:style w:type="paragraph" w:customStyle="1" w:styleId="KCCLegalL1">
    <w:name w:val="KCCLegal_L1"/>
    <w:basedOn w:val="Normal"/>
    <w:next w:val="KCCLegalL2"/>
    <w:uiPriority w:val="99"/>
    <w:qFormat/>
    <w:rsid w:val="007C5043"/>
    <w:pPr>
      <w:keepNext/>
      <w:keepLines/>
      <w:numPr>
        <w:numId w:val="2"/>
      </w:numPr>
      <w:spacing w:before="480" w:after="220" w:line="240" w:lineRule="auto"/>
      <w:outlineLvl w:val="0"/>
    </w:pPr>
    <w:rPr>
      <w:rFonts w:ascii="Arial (W1)" w:hAnsi="Arial (W1)" w:cs="Times New Roman"/>
      <w:b/>
      <w:caps/>
      <w:szCs w:val="20"/>
    </w:rPr>
  </w:style>
  <w:style w:type="paragraph" w:customStyle="1" w:styleId="KCCLegalL2">
    <w:name w:val="KCCLegal_L2"/>
    <w:basedOn w:val="Normal"/>
    <w:uiPriority w:val="99"/>
    <w:qFormat/>
    <w:rsid w:val="007C5043"/>
    <w:pPr>
      <w:numPr>
        <w:ilvl w:val="1"/>
        <w:numId w:val="2"/>
      </w:numPr>
      <w:spacing w:after="220" w:line="240" w:lineRule="auto"/>
      <w:jc w:val="both"/>
      <w:outlineLvl w:val="1"/>
    </w:pPr>
    <w:rPr>
      <w:rFonts w:ascii="Arial" w:hAnsi="Arial" w:cs="Times New Roman"/>
      <w:szCs w:val="20"/>
    </w:rPr>
  </w:style>
  <w:style w:type="paragraph" w:customStyle="1" w:styleId="KCCLegalL3">
    <w:name w:val="KCCLegal_L3"/>
    <w:basedOn w:val="Normal"/>
    <w:uiPriority w:val="99"/>
    <w:qFormat/>
    <w:rsid w:val="007C5043"/>
    <w:pPr>
      <w:numPr>
        <w:ilvl w:val="2"/>
        <w:numId w:val="2"/>
      </w:numPr>
      <w:spacing w:after="220" w:line="240" w:lineRule="auto"/>
      <w:jc w:val="both"/>
      <w:outlineLvl w:val="2"/>
    </w:pPr>
    <w:rPr>
      <w:rFonts w:ascii="Arial (W1)" w:hAnsi="Arial (W1)" w:cs="Times New Roman"/>
      <w:szCs w:val="20"/>
    </w:rPr>
  </w:style>
  <w:style w:type="paragraph" w:customStyle="1" w:styleId="KCCLegalL4">
    <w:name w:val="KCCLegal_L4"/>
    <w:basedOn w:val="Normal"/>
    <w:uiPriority w:val="99"/>
    <w:qFormat/>
    <w:rsid w:val="007C5043"/>
    <w:pPr>
      <w:numPr>
        <w:ilvl w:val="3"/>
        <w:numId w:val="2"/>
      </w:numPr>
      <w:spacing w:after="220" w:line="240" w:lineRule="auto"/>
      <w:jc w:val="both"/>
      <w:outlineLvl w:val="3"/>
    </w:pPr>
    <w:rPr>
      <w:rFonts w:ascii="Arial (W1)" w:hAnsi="Arial (W1)" w:cs="Times New Roman"/>
      <w:szCs w:val="20"/>
    </w:rPr>
  </w:style>
  <w:style w:type="paragraph" w:customStyle="1" w:styleId="KCCLegalL5">
    <w:name w:val="KCCLegal_L5"/>
    <w:basedOn w:val="Normal"/>
    <w:uiPriority w:val="99"/>
    <w:qFormat/>
    <w:rsid w:val="007C5043"/>
    <w:pPr>
      <w:numPr>
        <w:ilvl w:val="4"/>
        <w:numId w:val="2"/>
      </w:numPr>
      <w:spacing w:after="220" w:line="240" w:lineRule="auto"/>
      <w:jc w:val="both"/>
      <w:outlineLvl w:val="4"/>
    </w:pPr>
    <w:rPr>
      <w:rFonts w:ascii="Arial (W1)" w:hAnsi="Arial (W1)" w:cs="Times New Roman"/>
      <w:szCs w:val="20"/>
    </w:rPr>
  </w:style>
  <w:style w:type="paragraph" w:customStyle="1" w:styleId="KCCLegalL6">
    <w:name w:val="KCCLegal_L6"/>
    <w:basedOn w:val="Normal"/>
    <w:uiPriority w:val="99"/>
    <w:qFormat/>
    <w:rsid w:val="007C5043"/>
    <w:pPr>
      <w:numPr>
        <w:ilvl w:val="5"/>
        <w:numId w:val="2"/>
      </w:numPr>
      <w:spacing w:after="220" w:line="240" w:lineRule="auto"/>
      <w:jc w:val="both"/>
      <w:outlineLvl w:val="5"/>
    </w:pPr>
    <w:rPr>
      <w:rFonts w:ascii="Arial" w:hAnsi="Arial" w:cs="Times New Roman"/>
      <w:szCs w:val="20"/>
    </w:rPr>
  </w:style>
  <w:style w:type="paragraph" w:styleId="Header">
    <w:name w:val="header"/>
    <w:basedOn w:val="Normal"/>
    <w:link w:val="HeaderChar"/>
    <w:uiPriority w:val="99"/>
    <w:unhideWhenUsed/>
    <w:rsid w:val="004C3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428"/>
  </w:style>
  <w:style w:type="paragraph" w:styleId="Footer">
    <w:name w:val="footer"/>
    <w:basedOn w:val="Normal"/>
    <w:link w:val="FooterChar"/>
    <w:uiPriority w:val="99"/>
    <w:unhideWhenUsed/>
    <w:rsid w:val="004C3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428"/>
  </w:style>
  <w:style w:type="paragraph" w:customStyle="1" w:styleId="Default">
    <w:name w:val="Default"/>
    <w:rsid w:val="00EE043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11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729612">
      <w:bodyDiv w:val="1"/>
      <w:marLeft w:val="0"/>
      <w:marRight w:val="0"/>
      <w:marTop w:val="0"/>
      <w:marBottom w:val="0"/>
      <w:divBdr>
        <w:top w:val="none" w:sz="0" w:space="0" w:color="auto"/>
        <w:left w:val="none" w:sz="0" w:space="0" w:color="auto"/>
        <w:bottom w:val="none" w:sz="0" w:space="0" w:color="auto"/>
        <w:right w:val="none" w:sz="0" w:space="0" w:color="auto"/>
      </w:divBdr>
    </w:div>
    <w:div w:id="133969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Buxton, Celia - EY EQS</dc:creator>
  <cp:lastModifiedBy>Profile Setup</cp:lastModifiedBy>
  <cp:revision>3</cp:revision>
  <cp:lastPrinted>2016-12-08T11:25:00Z</cp:lastPrinted>
  <dcterms:created xsi:type="dcterms:W3CDTF">2018-01-12T09:02:00Z</dcterms:created>
  <dcterms:modified xsi:type="dcterms:W3CDTF">2018-01-12T09:02:00Z</dcterms:modified>
</cp:coreProperties>
</file>