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42" w:rsidRPr="00852642" w:rsidRDefault="00852642" w:rsidP="00852642">
      <w:pPr>
        <w:jc w:val="center"/>
        <w:rPr>
          <w:b/>
          <w:bCs/>
        </w:rPr>
      </w:pPr>
      <w:bookmarkStart w:id="0" w:name="_GoBack"/>
      <w:bookmarkEnd w:id="0"/>
      <w:r w:rsidRPr="00852642">
        <w:rPr>
          <w:b/>
          <w:bCs/>
        </w:rPr>
        <w:t>Pupil Premium Plan</w:t>
      </w:r>
    </w:p>
    <w:p w:rsidR="00852642" w:rsidRPr="00852642" w:rsidRDefault="00852642" w:rsidP="00852642">
      <w:pPr>
        <w:jc w:val="center"/>
        <w:rPr>
          <w:b/>
          <w:bCs/>
        </w:rPr>
      </w:pPr>
      <w:r w:rsidRPr="00852642">
        <w:rPr>
          <w:b/>
          <w:bCs/>
        </w:rPr>
        <w:t>September 2017</w:t>
      </w:r>
    </w:p>
    <w:p w:rsidR="00852642" w:rsidRPr="00852642" w:rsidRDefault="00852642" w:rsidP="00852642">
      <w:pPr>
        <w:jc w:val="center"/>
        <w:rPr>
          <w:b/>
          <w:bCs/>
        </w:rPr>
      </w:pPr>
      <w:r>
        <w:rPr>
          <w:b/>
          <w:bCs/>
        </w:rPr>
        <w:t>The Enterprise Learning Alliance</w:t>
      </w:r>
    </w:p>
    <w:p w:rsidR="00852642" w:rsidRPr="00852642" w:rsidRDefault="00852642" w:rsidP="00852642">
      <w:r w:rsidRPr="00852642">
        <w:t>Pupil Premium 2017-2018</w:t>
      </w:r>
    </w:p>
    <w:p w:rsidR="00852642" w:rsidRPr="00852642" w:rsidRDefault="00852642" w:rsidP="00852642">
      <w:r w:rsidRPr="00852642">
        <w:t>The Pupil Premium is additional funding from the Government to help schools close the attainment gap between disadvantaged children and their peers.</w:t>
      </w:r>
    </w:p>
    <w:p w:rsidR="00852642" w:rsidRPr="00852642" w:rsidRDefault="00852642" w:rsidP="00852642">
      <w:r w:rsidRPr="00852642">
        <w:t>The funding is allocated to schools for children from Reception to year 11 who have registered for free school meals in the last 6 years, are in care or have</w:t>
      </w:r>
      <w:r>
        <w:t xml:space="preserve"> </w:t>
      </w:r>
      <w:r w:rsidRPr="00852642">
        <w:t>parents in the Armed Forces.</w:t>
      </w:r>
    </w:p>
    <w:p w:rsidR="00852642" w:rsidRPr="00852642" w:rsidRDefault="00852642" w:rsidP="00852642">
      <w:r w:rsidRPr="00852642">
        <w:t>In 2016-17 the funding allocation was</w:t>
      </w:r>
    </w:p>
    <w:p w:rsidR="00852642" w:rsidRPr="00852642" w:rsidRDefault="00852642" w:rsidP="00852642">
      <w:r w:rsidRPr="00852642">
        <w:t>• £935 per child and £300 for children of Armed Forces families</w:t>
      </w:r>
    </w:p>
    <w:p w:rsidR="00852642" w:rsidRPr="00852642" w:rsidRDefault="00852642" w:rsidP="00852642">
      <w:r w:rsidRPr="00852642">
        <w:t>Unlike other schools we do not directly receive Pupil Premium for all eligible pupils. Our aim as a school is for all pupils to remain on role with their</w:t>
      </w:r>
      <w:r>
        <w:t xml:space="preserve"> </w:t>
      </w:r>
      <w:r w:rsidRPr="00852642">
        <w:t>mainstream school and, where possible return to that school if this is an appropriate pathway for the child or young person.</w:t>
      </w:r>
    </w:p>
    <w:p w:rsidR="00852642" w:rsidRPr="00852642" w:rsidRDefault="00852642" w:rsidP="00852642">
      <w:r>
        <w:t>ELA</w:t>
      </w:r>
      <w:r w:rsidRPr="00852642">
        <w:t xml:space="preserve"> commits to ensuring that every child or young person who would usually be entitled to this additional funding receives additional support bespoke</w:t>
      </w:r>
      <w:r>
        <w:t xml:space="preserve"> </w:t>
      </w:r>
      <w:r w:rsidRPr="00852642">
        <w:t xml:space="preserve">to their needs during their stay at our school. </w:t>
      </w:r>
      <w:r>
        <w:t>ELA</w:t>
      </w:r>
      <w:r w:rsidRPr="00852642">
        <w:t xml:space="preserve"> is committed to closing the gap between the progress of pupils who receive the funding and those</w:t>
      </w:r>
      <w:r>
        <w:t xml:space="preserve"> </w:t>
      </w:r>
      <w:r w:rsidRPr="00852642">
        <w:t>considered to not be disadvantaged.</w:t>
      </w:r>
    </w:p>
    <w:p w:rsidR="00852642" w:rsidRPr="00852642" w:rsidRDefault="00852642" w:rsidP="00852642">
      <w:pPr>
        <w:rPr>
          <w:b/>
          <w:bCs/>
        </w:rPr>
      </w:pPr>
      <w:r w:rsidRPr="00852642">
        <w:rPr>
          <w:b/>
          <w:bCs/>
        </w:rPr>
        <w:t>Objectives for Pupils Premium in this school:</w:t>
      </w:r>
    </w:p>
    <w:p w:rsidR="00852642" w:rsidRPr="00852642" w:rsidRDefault="00852642" w:rsidP="00852642">
      <w:r w:rsidRPr="00852642">
        <w:t>• These children will be provided with additional educational support to improve progress and to raise the standard of achievement for them</w:t>
      </w:r>
    </w:p>
    <w:p w:rsidR="00852642" w:rsidRPr="00852642" w:rsidRDefault="00852642" w:rsidP="00852642">
      <w:r w:rsidRPr="00852642">
        <w:t>• The school will aim to close the gap between the achievement of our pupils and their peers both nationally and within the school</w:t>
      </w:r>
    </w:p>
    <w:p w:rsidR="00852642" w:rsidRPr="00852642" w:rsidRDefault="00852642" w:rsidP="00852642">
      <w:r w:rsidRPr="00852642">
        <w:t>• As far as resources allow, the school will use the additional funding to address any underlying inequalities between pupils eligible for Pupil Premium</w:t>
      </w:r>
      <w:r>
        <w:t xml:space="preserve"> </w:t>
      </w:r>
      <w:r w:rsidRPr="00852642">
        <w:t>and others</w:t>
      </w:r>
    </w:p>
    <w:p w:rsidR="00852642" w:rsidRPr="00852642" w:rsidRDefault="00852642" w:rsidP="00852642">
      <w:r w:rsidRPr="00852642">
        <w:t>• We will ensure any additional funding received reaches the pupils who need it the most and that it makes a significant impact on their education</w:t>
      </w:r>
      <w:r>
        <w:t xml:space="preserve"> </w:t>
      </w:r>
      <w:r w:rsidRPr="00852642">
        <w:t>and lives</w:t>
      </w:r>
    </w:p>
    <w:p w:rsidR="00E1428B" w:rsidRDefault="00852642" w:rsidP="00852642">
      <w:r w:rsidRPr="00852642">
        <w:t>• The recognises Pupil Premium pupils who have SEND, Pupil Premium pupils who have no SEND and children in care. Therefore, all provision is</w:t>
      </w:r>
      <w:r>
        <w:t xml:space="preserve"> </w:t>
      </w:r>
      <w:r w:rsidRPr="00852642">
        <w:t>tailored slightly differently for these identified vulnerable groups</w:t>
      </w:r>
      <w:r w:rsidR="00A20602">
        <w:t>.</w:t>
      </w:r>
    </w:p>
    <w:p w:rsidR="00A20602" w:rsidRPr="00A20602" w:rsidRDefault="00A20602" w:rsidP="00A20602">
      <w:pPr>
        <w:rPr>
          <w:rFonts w:ascii="Calibri" w:eastAsia="Calibri" w:hAnsi="Calibri" w:cs="Times New Roman"/>
          <w:b/>
          <w:u w:val="single"/>
        </w:rPr>
      </w:pPr>
      <w:r w:rsidRPr="00A20602">
        <w:rPr>
          <w:rFonts w:ascii="Calibri" w:eastAsia="Calibri" w:hAnsi="Calibri" w:cs="Times New Roman"/>
          <w:b/>
          <w:u w:val="single"/>
        </w:rPr>
        <w:t>How much Pupil Premium money did the school receive?</w:t>
      </w:r>
    </w:p>
    <w:p w:rsidR="00A20602" w:rsidRPr="00A20602" w:rsidRDefault="00A20602" w:rsidP="00A20602">
      <w:pPr>
        <w:rPr>
          <w:rFonts w:ascii="Calibri" w:eastAsia="Calibri" w:hAnsi="Calibri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211"/>
      </w:tblGrid>
      <w:tr w:rsidR="00A20602" w:rsidRPr="00A20602" w:rsidTr="00BD0985">
        <w:tc>
          <w:tcPr>
            <w:tcW w:w="7621" w:type="dxa"/>
            <w:shd w:val="clear" w:color="auto" w:fill="auto"/>
          </w:tcPr>
          <w:p w:rsidR="00A20602" w:rsidRPr="00A20602" w:rsidRDefault="00A20602" w:rsidP="00A206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A20602" w:rsidRPr="00A20602" w:rsidRDefault="00A20602" w:rsidP="00A206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20602">
              <w:rPr>
                <w:rFonts w:ascii="Calibri" w:eastAsia="Calibri" w:hAnsi="Calibri" w:cs="Times New Roman"/>
                <w:b/>
              </w:rPr>
              <w:t>Total number of pupils on roll (Years 7 – 11)</w:t>
            </w:r>
          </w:p>
          <w:p w:rsidR="00A20602" w:rsidRPr="00A20602" w:rsidRDefault="00A20602" w:rsidP="00A206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A20602" w:rsidRPr="00A20602" w:rsidRDefault="00A20602" w:rsidP="00A2060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highlight w:val="yellow"/>
                <w:u w:val="single"/>
              </w:rPr>
            </w:pPr>
          </w:p>
          <w:p w:rsidR="00A20602" w:rsidRPr="00A20602" w:rsidRDefault="00A20602" w:rsidP="00A2060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</w:rPr>
              <w:t>122</w:t>
            </w:r>
          </w:p>
        </w:tc>
      </w:tr>
      <w:tr w:rsidR="00A20602" w:rsidRPr="00A20602" w:rsidTr="00BD0985">
        <w:tc>
          <w:tcPr>
            <w:tcW w:w="7621" w:type="dxa"/>
            <w:shd w:val="clear" w:color="auto" w:fill="auto"/>
          </w:tcPr>
          <w:p w:rsidR="00A20602" w:rsidRPr="00A20602" w:rsidRDefault="00A20602" w:rsidP="00A206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A20602" w:rsidRPr="00A20602" w:rsidRDefault="00A20602" w:rsidP="00A206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20602">
              <w:rPr>
                <w:rFonts w:ascii="Calibri" w:eastAsia="Calibri" w:hAnsi="Calibri" w:cs="Times New Roman"/>
                <w:b/>
              </w:rPr>
              <w:t>Total number of pupils eligible for Pupil Premium Grant</w:t>
            </w:r>
          </w:p>
          <w:p w:rsidR="00A20602" w:rsidRPr="00A20602" w:rsidRDefault="00A20602" w:rsidP="00A206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A20602" w:rsidRPr="00A20602" w:rsidRDefault="00A20602" w:rsidP="00A2060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highlight w:val="yellow"/>
              </w:rPr>
            </w:pPr>
          </w:p>
          <w:p w:rsidR="00A20602" w:rsidRPr="00A20602" w:rsidRDefault="00A20602" w:rsidP="00A2060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</w:rPr>
              <w:t>29</w:t>
            </w:r>
          </w:p>
        </w:tc>
      </w:tr>
      <w:tr w:rsidR="00A20602" w:rsidRPr="00A20602" w:rsidTr="00BD0985">
        <w:tc>
          <w:tcPr>
            <w:tcW w:w="7621" w:type="dxa"/>
            <w:shd w:val="clear" w:color="auto" w:fill="auto"/>
          </w:tcPr>
          <w:p w:rsidR="00A20602" w:rsidRPr="00A20602" w:rsidRDefault="00A20602" w:rsidP="00A206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A20602" w:rsidRPr="00A20602" w:rsidRDefault="00A20602" w:rsidP="00A206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20602">
              <w:rPr>
                <w:rFonts w:ascii="Calibri" w:eastAsia="Calibri" w:hAnsi="Calibri" w:cs="Times New Roman"/>
                <w:b/>
              </w:rPr>
              <w:t>Amount of PPG received</w:t>
            </w:r>
          </w:p>
          <w:p w:rsidR="00A20602" w:rsidRPr="00A20602" w:rsidRDefault="00A20602" w:rsidP="00A206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A20602" w:rsidRPr="00A20602" w:rsidRDefault="00A20602" w:rsidP="00A2060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  <w:u w:val="single"/>
              </w:rPr>
            </w:pPr>
          </w:p>
          <w:p w:rsidR="00A20602" w:rsidRPr="00A20602" w:rsidRDefault="00181D2D" w:rsidP="00A2060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3740</w:t>
            </w:r>
          </w:p>
        </w:tc>
      </w:tr>
      <w:tr w:rsidR="00A20602" w:rsidRPr="00A20602" w:rsidTr="00BD0985">
        <w:tc>
          <w:tcPr>
            <w:tcW w:w="7621" w:type="dxa"/>
            <w:shd w:val="clear" w:color="auto" w:fill="auto"/>
          </w:tcPr>
          <w:p w:rsidR="00A20602" w:rsidRPr="00A20602" w:rsidRDefault="00A20602" w:rsidP="00A206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A20602" w:rsidRPr="00A20602" w:rsidRDefault="00A20602" w:rsidP="00A206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20602">
              <w:rPr>
                <w:rFonts w:ascii="Calibri" w:eastAsia="Calibri" w:hAnsi="Calibri" w:cs="Times New Roman"/>
                <w:b/>
              </w:rPr>
              <w:t>LAC</w:t>
            </w:r>
          </w:p>
          <w:p w:rsidR="00A20602" w:rsidRPr="00A20602" w:rsidRDefault="00A20602" w:rsidP="00A206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A20602" w:rsidRPr="00A20602" w:rsidRDefault="00A20602" w:rsidP="00A2060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  <w:u w:val="single"/>
              </w:rPr>
            </w:pPr>
          </w:p>
          <w:p w:rsidR="00A20602" w:rsidRPr="00A20602" w:rsidRDefault="001F1526" w:rsidP="00A2060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18</w:t>
            </w:r>
          </w:p>
        </w:tc>
      </w:tr>
      <w:tr w:rsidR="00A20602" w:rsidRPr="00A20602" w:rsidTr="00BD0985">
        <w:tc>
          <w:tcPr>
            <w:tcW w:w="7621" w:type="dxa"/>
            <w:shd w:val="clear" w:color="auto" w:fill="auto"/>
          </w:tcPr>
          <w:p w:rsidR="00A20602" w:rsidRPr="00A20602" w:rsidRDefault="00A20602" w:rsidP="00A206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A20602" w:rsidRPr="00A20602" w:rsidRDefault="00A20602" w:rsidP="00A206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20602">
              <w:rPr>
                <w:rFonts w:ascii="Calibri" w:eastAsia="Calibri" w:hAnsi="Calibri" w:cs="Times New Roman"/>
                <w:b/>
              </w:rPr>
              <w:t>Total amount of PPG received with LAC</w:t>
            </w:r>
          </w:p>
          <w:p w:rsidR="00A20602" w:rsidRPr="00A20602" w:rsidRDefault="00A20602" w:rsidP="00A2060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A20602" w:rsidRPr="00A20602" w:rsidRDefault="00A20602" w:rsidP="00A20602">
            <w:pPr>
              <w:spacing w:after="0" w:line="240" w:lineRule="auto"/>
              <w:rPr>
                <w:rFonts w:ascii="Calibri" w:eastAsia="Calibri" w:hAnsi="Calibri" w:cs="Times New Roman"/>
                <w:b/>
                <w:highlight w:val="yellow"/>
                <w:u w:val="single"/>
              </w:rPr>
            </w:pPr>
          </w:p>
          <w:p w:rsidR="00A20602" w:rsidRPr="00A20602" w:rsidRDefault="001F1526" w:rsidP="00A2060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300</w:t>
            </w:r>
          </w:p>
        </w:tc>
      </w:tr>
    </w:tbl>
    <w:p w:rsidR="00A20602" w:rsidRDefault="00A20602" w:rsidP="00A20602">
      <w:pPr>
        <w:rPr>
          <w:rFonts w:ascii="Calibri" w:eastAsia="Calibri" w:hAnsi="Calibri" w:cs="Times New Roman"/>
          <w:b/>
          <w:u w:val="single"/>
        </w:rPr>
      </w:pPr>
    </w:p>
    <w:p w:rsidR="00A20602" w:rsidRPr="00A20602" w:rsidRDefault="00A20602" w:rsidP="00A20602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Planned Interventions 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051"/>
        <w:gridCol w:w="2570"/>
        <w:gridCol w:w="2311"/>
      </w:tblGrid>
      <w:tr w:rsidR="00A20602" w:rsidTr="007643AD">
        <w:tc>
          <w:tcPr>
            <w:tcW w:w="2310" w:type="dxa"/>
          </w:tcPr>
          <w:p w:rsidR="00A20602" w:rsidRPr="00A20602" w:rsidRDefault="00A20602" w:rsidP="00852642">
            <w:pPr>
              <w:rPr>
                <w:b/>
              </w:rPr>
            </w:pPr>
            <w:r w:rsidRPr="00A20602">
              <w:rPr>
                <w:b/>
              </w:rPr>
              <w:t>Strategy Cost or Proportion of</w:t>
            </w:r>
          </w:p>
        </w:tc>
        <w:tc>
          <w:tcPr>
            <w:tcW w:w="2051" w:type="dxa"/>
          </w:tcPr>
          <w:p w:rsidR="00A20602" w:rsidRPr="00A20602" w:rsidRDefault="00A20602" w:rsidP="00852642">
            <w:pPr>
              <w:rPr>
                <w:b/>
              </w:rPr>
            </w:pPr>
            <w:r w:rsidRPr="00A20602">
              <w:rPr>
                <w:b/>
              </w:rPr>
              <w:t>Activities/Resource</w:t>
            </w:r>
          </w:p>
        </w:tc>
        <w:tc>
          <w:tcPr>
            <w:tcW w:w="2570" w:type="dxa"/>
          </w:tcPr>
          <w:p w:rsidR="00A20602" w:rsidRPr="00A20602" w:rsidRDefault="00A20602" w:rsidP="00852642">
            <w:pPr>
              <w:rPr>
                <w:b/>
              </w:rPr>
            </w:pPr>
            <w:r w:rsidRPr="00A20602">
              <w:rPr>
                <w:b/>
              </w:rPr>
              <w:t>Objectives</w:t>
            </w:r>
          </w:p>
        </w:tc>
        <w:tc>
          <w:tcPr>
            <w:tcW w:w="2311" w:type="dxa"/>
          </w:tcPr>
          <w:p w:rsidR="00A20602" w:rsidRPr="00A20602" w:rsidRDefault="00A20602" w:rsidP="00852642">
            <w:pPr>
              <w:rPr>
                <w:b/>
              </w:rPr>
            </w:pPr>
            <w:r w:rsidRPr="00A20602">
              <w:rPr>
                <w:b/>
              </w:rPr>
              <w:t>Potential Impact</w:t>
            </w:r>
          </w:p>
        </w:tc>
      </w:tr>
      <w:tr w:rsidR="00A20602" w:rsidTr="007643AD">
        <w:tc>
          <w:tcPr>
            <w:tcW w:w="2310" w:type="dxa"/>
          </w:tcPr>
          <w:p w:rsidR="00A20602" w:rsidRDefault="00A20602" w:rsidP="00852642">
            <w:r>
              <w:t>£1500 per Pupil 6 week Course</w:t>
            </w:r>
          </w:p>
        </w:tc>
        <w:tc>
          <w:tcPr>
            <w:tcW w:w="2051" w:type="dxa"/>
          </w:tcPr>
          <w:p w:rsidR="00A20602" w:rsidRDefault="00A20602" w:rsidP="00852642">
            <w:r>
              <w:t>MXCP</w:t>
            </w:r>
          </w:p>
        </w:tc>
        <w:tc>
          <w:tcPr>
            <w:tcW w:w="2570" w:type="dxa"/>
          </w:tcPr>
          <w:p w:rsidR="00A20602" w:rsidRDefault="00A20602" w:rsidP="007643AD">
            <w:r>
              <w:t xml:space="preserve">Motor Mechanics </w:t>
            </w:r>
          </w:p>
          <w:p w:rsidR="00A20602" w:rsidRDefault="00A20602" w:rsidP="007643AD">
            <w:r>
              <w:t xml:space="preserve">Develop key skills: </w:t>
            </w:r>
            <w:r w:rsidR="00B46D69">
              <w:t>trust</w:t>
            </w:r>
            <w:r>
              <w:t>, Cooperation, Communication, risk and responsibility.</w:t>
            </w:r>
          </w:p>
          <w:p w:rsidR="007643AD" w:rsidRDefault="007643AD" w:rsidP="007643AD"/>
        </w:tc>
        <w:tc>
          <w:tcPr>
            <w:tcW w:w="2311" w:type="dxa"/>
          </w:tcPr>
          <w:p w:rsidR="00A20602" w:rsidRDefault="00B46D69" w:rsidP="00852642">
            <w:r>
              <w:t>Increase pupil motivation and optimism.</w:t>
            </w:r>
          </w:p>
          <w:p w:rsidR="00B46D69" w:rsidRDefault="00B46D69" w:rsidP="00852642">
            <w:r>
              <w:t>Higher Aspirations</w:t>
            </w:r>
          </w:p>
          <w:p w:rsidR="00B46D69" w:rsidRDefault="00B46D69" w:rsidP="00852642">
            <w:r>
              <w:t>Better equipped to succeed academically</w:t>
            </w:r>
          </w:p>
          <w:p w:rsidR="00B46D69" w:rsidRDefault="00B46D69" w:rsidP="00852642">
            <w:r>
              <w:t>Physically &amp; mentally healthier</w:t>
            </w:r>
          </w:p>
          <w:p w:rsidR="00B46D69" w:rsidRDefault="00B46D69" w:rsidP="00852642">
            <w:r>
              <w:t xml:space="preserve">Motor Mechanics knowledge </w:t>
            </w:r>
          </w:p>
          <w:p w:rsidR="00B46D69" w:rsidRDefault="00B46D69" w:rsidP="00852642">
            <w:r>
              <w:t>Improve destination possibilities</w:t>
            </w:r>
          </w:p>
          <w:p w:rsidR="00B46D69" w:rsidRDefault="00B46D69" w:rsidP="00852642"/>
        </w:tc>
      </w:tr>
      <w:tr w:rsidR="00A20602" w:rsidTr="007643AD">
        <w:tc>
          <w:tcPr>
            <w:tcW w:w="2310" w:type="dxa"/>
          </w:tcPr>
          <w:p w:rsidR="00A20602" w:rsidRDefault="005C3780" w:rsidP="00852642">
            <w:r>
              <w:t>Additional TA/FLO time</w:t>
            </w:r>
          </w:p>
          <w:p w:rsidR="005C3780" w:rsidRDefault="001F1526" w:rsidP="00852642">
            <w:r>
              <w:t>£2</w:t>
            </w:r>
            <w:r w:rsidR="005C3780">
              <w:t>000</w:t>
            </w:r>
          </w:p>
        </w:tc>
        <w:tc>
          <w:tcPr>
            <w:tcW w:w="2051" w:type="dxa"/>
          </w:tcPr>
          <w:p w:rsidR="00A20602" w:rsidRDefault="007643AD" w:rsidP="00852642">
            <w:r>
              <w:t>Attendance Knocks</w:t>
            </w:r>
          </w:p>
        </w:tc>
        <w:tc>
          <w:tcPr>
            <w:tcW w:w="2570" w:type="dxa"/>
          </w:tcPr>
          <w:p w:rsidR="00A20602" w:rsidRDefault="005C3780" w:rsidP="00852642">
            <w:r>
              <w:t>-Improve attendance for pupil in the 50-80% bracket</w:t>
            </w:r>
          </w:p>
        </w:tc>
        <w:tc>
          <w:tcPr>
            <w:tcW w:w="2311" w:type="dxa"/>
          </w:tcPr>
          <w:p w:rsidR="00A20602" w:rsidRDefault="005C3780" w:rsidP="00852642">
            <w:r>
              <w:t>-Improve attendance</w:t>
            </w:r>
          </w:p>
          <w:p w:rsidR="005C3780" w:rsidRDefault="005C3780" w:rsidP="00852642">
            <w:r>
              <w:t>-Improve pupil engagement and progress</w:t>
            </w:r>
          </w:p>
          <w:p w:rsidR="005C3780" w:rsidRDefault="005C3780" w:rsidP="00852642">
            <w:r>
              <w:t>-Improve pupil outcomes and destinations</w:t>
            </w:r>
          </w:p>
        </w:tc>
      </w:tr>
      <w:tr w:rsidR="00A20602" w:rsidTr="007643AD">
        <w:tc>
          <w:tcPr>
            <w:tcW w:w="2310" w:type="dxa"/>
          </w:tcPr>
          <w:p w:rsidR="00A20602" w:rsidRDefault="001F1526" w:rsidP="00852642">
            <w:r>
              <w:t>£4</w:t>
            </w:r>
            <w:r w:rsidR="005C3780">
              <w:t>000 per annum</w:t>
            </w:r>
          </w:p>
        </w:tc>
        <w:tc>
          <w:tcPr>
            <w:tcW w:w="2051" w:type="dxa"/>
          </w:tcPr>
          <w:p w:rsidR="00A20602" w:rsidRDefault="005C3780" w:rsidP="00852642">
            <w:r>
              <w:t>NHS Counsellor</w:t>
            </w:r>
          </w:p>
        </w:tc>
        <w:tc>
          <w:tcPr>
            <w:tcW w:w="2570" w:type="dxa"/>
          </w:tcPr>
          <w:p w:rsidR="00A20602" w:rsidRDefault="005C3780" w:rsidP="005C3780">
            <w:pPr>
              <w:pStyle w:val="ListParagraph"/>
              <w:numPr>
                <w:ilvl w:val="0"/>
                <w:numId w:val="2"/>
              </w:numPr>
            </w:pPr>
            <w:r>
              <w:t>Assist pupil with mental health issues</w:t>
            </w:r>
          </w:p>
          <w:p w:rsidR="005C3780" w:rsidRDefault="005C3780" w:rsidP="005C3780">
            <w:pPr>
              <w:pStyle w:val="ListParagraph"/>
              <w:numPr>
                <w:ilvl w:val="0"/>
                <w:numId w:val="2"/>
              </w:numPr>
            </w:pPr>
            <w:r>
              <w:t>Help pupils deal with anxiety</w:t>
            </w:r>
          </w:p>
          <w:p w:rsidR="005C3780" w:rsidRDefault="005C3780" w:rsidP="005C3780">
            <w:pPr>
              <w:pStyle w:val="ListParagraph"/>
              <w:numPr>
                <w:ilvl w:val="0"/>
                <w:numId w:val="2"/>
              </w:numPr>
            </w:pPr>
            <w:r>
              <w:t>Help students understand themselves and their problems and feel more confident.</w:t>
            </w:r>
          </w:p>
        </w:tc>
        <w:tc>
          <w:tcPr>
            <w:tcW w:w="2311" w:type="dxa"/>
          </w:tcPr>
          <w:p w:rsidR="005C3780" w:rsidRDefault="005C3780" w:rsidP="005C3780">
            <w:r>
              <w:t>Improve attendance</w:t>
            </w:r>
          </w:p>
          <w:p w:rsidR="005C3780" w:rsidRDefault="005C3780" w:rsidP="005C3780">
            <w:r>
              <w:t>-Improve pupil engagement and progress</w:t>
            </w:r>
          </w:p>
          <w:p w:rsidR="005C3780" w:rsidRDefault="005C3780" w:rsidP="005C3780">
            <w:r>
              <w:t xml:space="preserve">-Improve pupil outcomes and destinations </w:t>
            </w:r>
          </w:p>
        </w:tc>
      </w:tr>
      <w:tr w:rsidR="00A20602" w:rsidTr="007643AD">
        <w:tc>
          <w:tcPr>
            <w:tcW w:w="2310" w:type="dxa"/>
          </w:tcPr>
          <w:p w:rsidR="00A20602" w:rsidRDefault="005C3780" w:rsidP="00852642">
            <w:r>
              <w:lastRenderedPageBreak/>
              <w:t>£592</w:t>
            </w:r>
          </w:p>
        </w:tc>
        <w:tc>
          <w:tcPr>
            <w:tcW w:w="2051" w:type="dxa"/>
          </w:tcPr>
          <w:p w:rsidR="00A20602" w:rsidRDefault="005C3780" w:rsidP="00852642">
            <w:r>
              <w:t>Purchase of Additional School Uniform</w:t>
            </w:r>
          </w:p>
        </w:tc>
        <w:tc>
          <w:tcPr>
            <w:tcW w:w="2570" w:type="dxa"/>
          </w:tcPr>
          <w:p w:rsidR="00A20602" w:rsidRDefault="005C3780" w:rsidP="00852642">
            <w:r>
              <w:t>So student can have additional items so they have clean uniform</w:t>
            </w:r>
          </w:p>
        </w:tc>
        <w:tc>
          <w:tcPr>
            <w:tcW w:w="2311" w:type="dxa"/>
          </w:tcPr>
          <w:p w:rsidR="005C3780" w:rsidRDefault="005C3780" w:rsidP="00852642">
            <w:r>
              <w:t xml:space="preserve">Improve self-image </w:t>
            </w:r>
          </w:p>
          <w:p w:rsidR="00A20602" w:rsidRDefault="005C3780" w:rsidP="00852642">
            <w:r>
              <w:t xml:space="preserve"> </w:t>
            </w:r>
          </w:p>
        </w:tc>
      </w:tr>
      <w:tr w:rsidR="00A20602" w:rsidTr="007643AD">
        <w:tc>
          <w:tcPr>
            <w:tcW w:w="2310" w:type="dxa"/>
          </w:tcPr>
          <w:p w:rsidR="00A20602" w:rsidRDefault="00181D2D" w:rsidP="00852642">
            <w:r>
              <w:t>£20</w:t>
            </w:r>
            <w:r w:rsidR="005C3780">
              <w:t>00 per Annum</w:t>
            </w:r>
          </w:p>
        </w:tc>
        <w:tc>
          <w:tcPr>
            <w:tcW w:w="2051" w:type="dxa"/>
          </w:tcPr>
          <w:p w:rsidR="00A20602" w:rsidRDefault="00181D2D" w:rsidP="00852642">
            <w:r>
              <w:t>Careers Advisor through KCC</w:t>
            </w:r>
          </w:p>
        </w:tc>
        <w:tc>
          <w:tcPr>
            <w:tcW w:w="2570" w:type="dxa"/>
          </w:tcPr>
          <w:p w:rsidR="00A20602" w:rsidRDefault="00181D2D" w:rsidP="00852642">
            <w:r>
              <w:t>Support students to find appropriate destinations and pathways in year 11/12</w:t>
            </w:r>
          </w:p>
        </w:tc>
        <w:tc>
          <w:tcPr>
            <w:tcW w:w="2311" w:type="dxa"/>
          </w:tcPr>
          <w:p w:rsidR="00181D2D" w:rsidRDefault="00181D2D" w:rsidP="00852642">
            <w:r>
              <w:t>Reduce NEETs</w:t>
            </w:r>
          </w:p>
          <w:p w:rsidR="00181D2D" w:rsidRDefault="00181D2D" w:rsidP="00852642">
            <w:r>
              <w:t xml:space="preserve">Reduce dropout rates in College </w:t>
            </w:r>
          </w:p>
        </w:tc>
      </w:tr>
      <w:tr w:rsidR="00A20602" w:rsidTr="007643AD">
        <w:tc>
          <w:tcPr>
            <w:tcW w:w="2310" w:type="dxa"/>
          </w:tcPr>
          <w:p w:rsidR="00A20602" w:rsidRDefault="00A20602" w:rsidP="00852642"/>
        </w:tc>
        <w:tc>
          <w:tcPr>
            <w:tcW w:w="2051" w:type="dxa"/>
          </w:tcPr>
          <w:p w:rsidR="00A20602" w:rsidRDefault="00A20602" w:rsidP="00852642"/>
        </w:tc>
        <w:tc>
          <w:tcPr>
            <w:tcW w:w="2570" w:type="dxa"/>
          </w:tcPr>
          <w:p w:rsidR="00A20602" w:rsidRDefault="00A20602" w:rsidP="00852642"/>
        </w:tc>
        <w:tc>
          <w:tcPr>
            <w:tcW w:w="2311" w:type="dxa"/>
          </w:tcPr>
          <w:p w:rsidR="00A20602" w:rsidRDefault="00A20602" w:rsidP="00852642"/>
        </w:tc>
      </w:tr>
      <w:tr w:rsidR="00A20602" w:rsidTr="007643AD">
        <w:tc>
          <w:tcPr>
            <w:tcW w:w="2310" w:type="dxa"/>
          </w:tcPr>
          <w:p w:rsidR="00A20602" w:rsidRDefault="00A20602" w:rsidP="00852642"/>
        </w:tc>
        <w:tc>
          <w:tcPr>
            <w:tcW w:w="2051" w:type="dxa"/>
          </w:tcPr>
          <w:p w:rsidR="00A20602" w:rsidRDefault="00A20602" w:rsidP="00852642"/>
        </w:tc>
        <w:tc>
          <w:tcPr>
            <w:tcW w:w="2570" w:type="dxa"/>
          </w:tcPr>
          <w:p w:rsidR="00A20602" w:rsidRDefault="00A20602" w:rsidP="00852642"/>
        </w:tc>
        <w:tc>
          <w:tcPr>
            <w:tcW w:w="2311" w:type="dxa"/>
          </w:tcPr>
          <w:p w:rsidR="00A20602" w:rsidRDefault="00A20602" w:rsidP="00852642"/>
        </w:tc>
      </w:tr>
    </w:tbl>
    <w:p w:rsidR="00A20602" w:rsidRDefault="00A20602" w:rsidP="00852642"/>
    <w:p w:rsidR="00181D2D" w:rsidRDefault="00181D2D" w:rsidP="00852642">
      <w:r>
        <w:t>This is a working document and will be updated throughout the academic year.</w:t>
      </w:r>
    </w:p>
    <w:sectPr w:rsidR="00181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B6BD8"/>
    <w:multiLevelType w:val="hybridMultilevel"/>
    <w:tmpl w:val="B9C6752E"/>
    <w:lvl w:ilvl="0" w:tplc="920E9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C0999"/>
    <w:multiLevelType w:val="hybridMultilevel"/>
    <w:tmpl w:val="EFE6CB8E"/>
    <w:lvl w:ilvl="0" w:tplc="FA8090F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42"/>
    <w:rsid w:val="00181D2D"/>
    <w:rsid w:val="001F1526"/>
    <w:rsid w:val="00473D73"/>
    <w:rsid w:val="005C3780"/>
    <w:rsid w:val="007643AD"/>
    <w:rsid w:val="00852642"/>
    <w:rsid w:val="00A20602"/>
    <w:rsid w:val="00B46D69"/>
    <w:rsid w:val="00E1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Westwood Centre Alternative Curriculum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Micheala Clay</dc:creator>
  <cp:lastModifiedBy>Profile Setup</cp:lastModifiedBy>
  <cp:revision>2</cp:revision>
  <dcterms:created xsi:type="dcterms:W3CDTF">2017-11-10T13:18:00Z</dcterms:created>
  <dcterms:modified xsi:type="dcterms:W3CDTF">2017-11-10T13:18:00Z</dcterms:modified>
</cp:coreProperties>
</file>